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before="0" w:beforeLines="0" w:after="0" w:afterLines="0" w:line="460" w:lineRule="exact"/>
        <w:ind w:left="0" w:leftChars="0" w:right="0" w:rightChars="0"/>
        <w:jc w:val="center"/>
        <w:textAlignment w:val="auto"/>
        <w:outlineLvl w:val="9"/>
        <w:rPr>
          <w:rFonts w:hint="eastAsia" w:ascii="黑体" w:hAnsi="黑体" w:eastAsia="黑体" w:cs="黑体"/>
          <w:b w:val="0"/>
          <w:bCs w:val="0"/>
          <w:snapToGrid/>
          <w:sz w:val="32"/>
          <w:szCs w:val="32"/>
          <w:lang w:val="en-US" w:eastAsia="zh-CN"/>
        </w:rPr>
      </w:pPr>
      <w:r>
        <w:rPr>
          <w:rFonts w:hint="eastAsia" w:ascii="黑体" w:hAnsi="黑体" w:eastAsia="黑体" w:cs="黑体"/>
          <w:b w:val="0"/>
          <w:bCs w:val="0"/>
          <w:snapToGrid/>
          <w:sz w:val="32"/>
          <w:szCs w:val="32"/>
          <w:lang w:eastAsia="zh-CN"/>
        </w:rPr>
        <w:t>无锡</w:t>
      </w:r>
      <w:r>
        <w:rPr>
          <w:rFonts w:hint="eastAsia" w:ascii="黑体" w:hAnsi="黑体" w:eastAsia="黑体" w:cs="黑体"/>
          <w:b w:val="0"/>
          <w:bCs w:val="0"/>
          <w:snapToGrid/>
          <w:sz w:val="32"/>
          <w:szCs w:val="32"/>
        </w:rPr>
        <w:t>市</w:t>
      </w:r>
      <w:r>
        <w:rPr>
          <w:rFonts w:hint="eastAsia" w:ascii="黑体" w:hAnsi="黑体" w:eastAsia="黑体" w:cs="黑体"/>
          <w:b w:val="0"/>
          <w:bCs w:val="0"/>
          <w:snapToGrid/>
          <w:sz w:val="32"/>
          <w:szCs w:val="32"/>
          <w:lang w:eastAsia="zh-CN"/>
        </w:rPr>
        <w:t>市</w:t>
      </w:r>
      <w:r>
        <w:rPr>
          <w:rFonts w:hint="eastAsia" w:ascii="黑体" w:hAnsi="黑体" w:eastAsia="黑体" w:cs="黑体"/>
          <w:b w:val="0"/>
          <w:bCs w:val="0"/>
          <w:snapToGrid/>
          <w:sz w:val="32"/>
          <w:szCs w:val="32"/>
        </w:rPr>
        <w:t>北高</w:t>
      </w:r>
      <w:r>
        <w:rPr>
          <w:rFonts w:hint="eastAsia" w:ascii="黑体" w:hAnsi="黑体" w:eastAsia="黑体" w:cs="黑体"/>
          <w:b w:val="0"/>
          <w:bCs w:val="0"/>
          <w:snapToGrid/>
          <w:sz w:val="32"/>
          <w:szCs w:val="32"/>
          <w:lang w:eastAsia="zh-CN"/>
        </w:rPr>
        <w:t>级</w:t>
      </w:r>
      <w:r>
        <w:rPr>
          <w:rFonts w:hint="eastAsia" w:ascii="黑体" w:hAnsi="黑体" w:eastAsia="黑体" w:cs="黑体"/>
          <w:b w:val="0"/>
          <w:bCs w:val="0"/>
          <w:snapToGrid/>
          <w:sz w:val="32"/>
          <w:szCs w:val="32"/>
        </w:rPr>
        <w:t>中</w:t>
      </w:r>
      <w:r>
        <w:rPr>
          <w:rFonts w:hint="eastAsia" w:ascii="黑体" w:hAnsi="黑体" w:eastAsia="黑体" w:cs="黑体"/>
          <w:b w:val="0"/>
          <w:bCs w:val="0"/>
          <w:snapToGrid/>
          <w:sz w:val="32"/>
          <w:szCs w:val="32"/>
          <w:lang w:eastAsia="zh-CN"/>
        </w:rPr>
        <w:t>学</w:t>
      </w:r>
      <w:r>
        <w:rPr>
          <w:rFonts w:hint="eastAsia" w:ascii="黑体" w:hAnsi="黑体" w:eastAsia="黑体" w:cs="黑体"/>
          <w:b w:val="0"/>
          <w:bCs w:val="0"/>
          <w:snapToGrid/>
          <w:sz w:val="32"/>
          <w:szCs w:val="32"/>
          <w:lang w:val="en-US" w:eastAsia="zh-CN"/>
        </w:rPr>
        <w:t>2017—2018学年第一学期</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460" w:lineRule="exact"/>
        <w:ind w:right="0" w:rightChars="0"/>
        <w:textAlignment w:val="auto"/>
        <w:outlineLvl w:val="9"/>
        <w:rPr>
          <w:rFonts w:hint="eastAsia" w:ascii="黑体" w:hAnsi="黑体" w:eastAsia="黑体" w:cs="黑体"/>
          <w:b w:val="0"/>
          <w:bCs w:val="0"/>
          <w:snapToGrid/>
          <w:sz w:val="32"/>
          <w:szCs w:val="32"/>
        </w:rPr>
      </w:pPr>
      <w:r>
        <w:rPr>
          <w:rFonts w:hint="eastAsia" w:ascii="黑体" w:hAnsi="黑体" w:eastAsia="黑体" w:cs="黑体"/>
          <w:b w:val="0"/>
          <w:bCs w:val="0"/>
          <w:snapToGrid/>
          <w:sz w:val="32"/>
          <w:szCs w:val="32"/>
          <w:lang w:val="en-US" w:eastAsia="zh-CN"/>
        </w:rPr>
        <w:t xml:space="preserve">              高三</w:t>
      </w:r>
      <w:r>
        <w:rPr>
          <w:rFonts w:hint="eastAsia" w:ascii="黑体" w:hAnsi="黑体" w:eastAsia="黑体" w:cs="黑体"/>
          <w:b w:val="0"/>
          <w:bCs w:val="0"/>
          <w:snapToGrid/>
          <w:sz w:val="32"/>
          <w:szCs w:val="32"/>
          <w:lang w:eastAsia="zh-CN"/>
        </w:rPr>
        <w:t>年级政治学科阶段</w:t>
      </w:r>
      <w:r>
        <w:rPr>
          <w:rFonts w:hint="eastAsia" w:ascii="黑体" w:hAnsi="黑体" w:eastAsia="黑体" w:cs="黑体"/>
          <w:b w:val="0"/>
          <w:bCs w:val="0"/>
          <w:snapToGrid/>
          <w:sz w:val="32"/>
          <w:szCs w:val="32"/>
        </w:rPr>
        <w:t>检测卷</w:t>
      </w:r>
    </w:p>
    <w:p>
      <w:pPr>
        <w:keepNext w:val="0"/>
        <w:keepLines w:val="0"/>
        <w:pageBreakBefore w:val="0"/>
        <w:widowControl w:val="0"/>
        <w:kinsoku/>
        <w:wordWrap/>
        <w:overflowPunct/>
        <w:topLinePunct w:val="0"/>
        <w:autoSpaceDE/>
        <w:autoSpaceDN w:val="0"/>
        <w:bidi w:val="0"/>
        <w:adjustRightInd/>
        <w:snapToGrid/>
        <w:spacing w:before="0" w:beforeLines="0" w:after="0" w:afterLines="0" w:line="460" w:lineRule="exact"/>
        <w:ind w:left="0" w:leftChars="0" w:right="0" w:rightChars="0"/>
        <w:jc w:val="center"/>
        <w:textAlignment w:val="auto"/>
        <w:outlineLvl w:val="9"/>
        <w:rPr>
          <w:rFonts w:hint="eastAsia" w:ascii="黑体" w:hAnsi="黑体" w:eastAsia="黑体" w:cs="黑体"/>
          <w:b w:val="0"/>
          <w:bCs w:val="0"/>
          <w:snapToGrid/>
          <w:sz w:val="24"/>
          <w:szCs w:val="24"/>
          <w:lang w:val="en-US" w:eastAsia="zh-CN"/>
        </w:rPr>
      </w:pPr>
      <w:r>
        <w:rPr>
          <w:rFonts w:hint="eastAsia" w:ascii="黑体" w:hAnsi="黑体" w:eastAsia="黑体" w:cs="黑体"/>
          <w:b w:val="0"/>
          <w:bCs w:val="0"/>
          <w:snapToGrid/>
          <w:sz w:val="24"/>
          <w:szCs w:val="24"/>
          <w:lang w:val="en-US" w:eastAsia="zh-CN"/>
        </w:rPr>
        <w:t>命题人：刘海    审题人：李炜    校对人：刘海</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460" w:lineRule="exact"/>
        <w:ind w:right="0" w:rightChars="0"/>
        <w:jc w:val="center"/>
        <w:textAlignment w:val="auto"/>
        <w:outlineLvl w:val="9"/>
        <w:rPr>
          <w:rFonts w:hint="eastAsia" w:ascii="黑体" w:hAnsi="黑体" w:eastAsia="黑体" w:cs="黑体"/>
          <w:b w:val="0"/>
          <w:bCs w:val="0"/>
          <w:snapToGrid/>
          <w:sz w:val="24"/>
          <w:szCs w:val="24"/>
          <w:lang w:val="en-US" w:eastAsia="zh-CN"/>
        </w:rPr>
      </w:pPr>
      <w:r>
        <w:rPr>
          <w:rFonts w:hint="eastAsia" w:ascii="黑体" w:hAnsi="黑体" w:eastAsia="黑体" w:cs="黑体"/>
          <w:b w:val="0"/>
          <w:bCs w:val="0"/>
          <w:snapToGrid/>
          <w:sz w:val="24"/>
          <w:szCs w:val="24"/>
          <w:lang w:val="en-US" w:eastAsia="zh-CN"/>
        </w:rPr>
        <w:t>时间：100分钟    分值：120分      日期：2017.10</w:t>
      </w:r>
    </w:p>
    <w:p>
      <w:pPr>
        <w:keepNext w:val="0"/>
        <w:keepLines w:val="0"/>
        <w:pageBreakBefore w:val="0"/>
        <w:widowControl w:val="0"/>
        <w:numPr>
          <w:ilvl w:val="0"/>
          <w:numId w:val="0"/>
        </w:numPr>
        <w:kinsoku/>
        <w:wordWrap/>
        <w:overflowPunct/>
        <w:topLinePunct w:val="0"/>
        <w:autoSpaceDE/>
        <w:bidi w:val="0"/>
        <w:adjustRightInd/>
        <w:snapToGrid/>
        <w:spacing w:before="0" w:beforeLines="0" w:after="0" w:afterLines="0" w:line="460" w:lineRule="exact"/>
        <w:ind w:right="0" w:rightChars="0"/>
        <w:jc w:val="center"/>
        <w:textAlignment w:val="auto"/>
        <w:outlineLvl w:val="9"/>
        <w:rPr>
          <w:rFonts w:hint="eastAsia" w:ascii="黑体" w:hAnsi="黑体" w:eastAsia="黑体" w:cs="黑体"/>
          <w:b w:val="0"/>
          <w:bCs w:val="0"/>
          <w:snapToGrid/>
          <w:sz w:val="24"/>
          <w:szCs w:val="24"/>
          <w:lang w:val="en-US" w:eastAsia="zh-CN"/>
        </w:rPr>
      </w:pP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560" w:firstLineChars="200"/>
        <w:textAlignment w:val="auto"/>
        <w:outlineLvl w:val="9"/>
        <w:rPr>
          <w:rFonts w:hint="default" w:ascii="宋体" w:hAnsi="宋体" w:eastAsia="宋体"/>
          <w:b/>
          <w:bCs/>
          <w:snapToGrid/>
          <w:color w:val="000000"/>
          <w:sz w:val="24"/>
          <w:szCs w:val="24"/>
          <w:lang w:eastAsia="zh-CN"/>
        </w:rPr>
      </w:pPr>
      <w:r>
        <w:rPr>
          <w:rFonts w:hint="eastAsia" w:ascii="宋体" w:hAnsi="宋体" w:eastAsia="宋体"/>
          <w:snapToGrid/>
          <w:color w:val="000000"/>
          <w:sz w:val="28"/>
          <w:szCs w:val="28"/>
          <w:lang w:val="en-US" w:eastAsia="zh-CN"/>
        </w:rPr>
        <w:t xml:space="preserve"> </w:t>
      </w:r>
      <w:r>
        <w:rPr>
          <w:rFonts w:hint="eastAsia" w:ascii="宋体" w:hAnsi="宋体" w:eastAsia="宋体"/>
          <w:snapToGrid/>
          <w:color w:val="000000"/>
          <w:sz w:val="24"/>
          <w:szCs w:val="24"/>
          <w:lang w:val="en-US" w:eastAsia="zh-CN"/>
        </w:rPr>
        <w:t xml:space="preserve">  </w:t>
      </w:r>
      <w:r>
        <w:rPr>
          <w:rFonts w:hint="default" w:ascii="宋体" w:hAnsi="宋体" w:eastAsia="宋体"/>
          <w:b/>
          <w:bCs/>
          <w:snapToGrid/>
          <w:color w:val="000000"/>
          <w:sz w:val="24"/>
          <w:szCs w:val="24"/>
          <w:lang w:eastAsia="zh-CN"/>
        </w:rPr>
        <w:t>本试卷分第Ⅰ卷（选择题）和第Ⅱ卷（非选择题），全卷满分</w:t>
      </w:r>
      <w:r>
        <w:rPr>
          <w:rFonts w:hint="eastAsia" w:ascii="宋体" w:hAnsi="宋体" w:cs="宋体"/>
          <w:b/>
          <w:bCs/>
          <w:snapToGrid/>
          <w:sz w:val="24"/>
          <w:szCs w:val="24"/>
          <w:lang w:val="en-US" w:eastAsia="zh-CN"/>
        </w:rPr>
        <w:t>120</w:t>
      </w:r>
      <w:r>
        <w:rPr>
          <w:rFonts w:hint="default" w:ascii="宋体" w:hAnsi="宋体" w:eastAsia="宋体"/>
          <w:b/>
          <w:bCs/>
          <w:snapToGrid/>
          <w:color w:val="000000"/>
          <w:sz w:val="24"/>
          <w:szCs w:val="24"/>
          <w:lang w:eastAsia="zh-CN"/>
        </w:rPr>
        <w:t>分，考试时间</w:t>
      </w:r>
      <w:r>
        <w:rPr>
          <w:rFonts w:hint="eastAsia" w:ascii="宋体" w:hAnsi="宋体" w:cs="宋体"/>
          <w:b/>
          <w:bCs/>
          <w:snapToGrid/>
          <w:sz w:val="24"/>
          <w:szCs w:val="24"/>
          <w:lang w:val="en-US" w:eastAsia="zh-CN"/>
        </w:rPr>
        <w:t>100</w:t>
      </w:r>
      <w:r>
        <w:rPr>
          <w:rFonts w:hint="default" w:ascii="宋体" w:hAnsi="宋体" w:eastAsia="宋体"/>
          <w:b/>
          <w:bCs/>
          <w:snapToGrid/>
          <w:color w:val="000000"/>
          <w:sz w:val="24"/>
          <w:szCs w:val="24"/>
          <w:lang w:eastAsia="zh-CN"/>
        </w:rPr>
        <w:t>分钟。</w:t>
      </w:r>
    </w:p>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firstLine="482" w:firstLineChars="200"/>
        <w:jc w:val="center"/>
        <w:textAlignment w:val="auto"/>
        <w:outlineLvl w:val="9"/>
        <w:rPr>
          <w:rFonts w:hint="default" w:ascii="宋体" w:hAnsi="宋体" w:eastAsia="宋体"/>
          <w:b/>
          <w:bCs/>
          <w:snapToGrid/>
          <w:color w:val="000000"/>
          <w:sz w:val="24"/>
          <w:szCs w:val="24"/>
          <w:lang w:eastAsia="zh-CN"/>
        </w:rPr>
      </w:pPr>
      <w:r>
        <w:rPr>
          <w:rFonts w:hint="default" w:ascii="宋体" w:hAnsi="宋体" w:eastAsia="宋体"/>
          <w:b/>
          <w:bCs/>
          <w:snapToGrid/>
          <w:color w:val="000000"/>
          <w:sz w:val="24"/>
          <w:szCs w:val="24"/>
          <w:lang w:eastAsia="zh-CN"/>
        </w:rPr>
        <w:t>第Ⅰ卷（选择题</w:t>
      </w:r>
      <w:r>
        <w:rPr>
          <w:rFonts w:hint="eastAsia" w:ascii="宋体" w:hAnsi="宋体"/>
          <w:b/>
          <w:bCs/>
          <w:snapToGrid/>
          <w:color w:val="000000"/>
          <w:sz w:val="24"/>
          <w:szCs w:val="24"/>
          <w:lang w:val="en-US" w:eastAsia="zh-CN"/>
        </w:rPr>
        <w:t xml:space="preserve"> </w:t>
      </w:r>
      <w:r>
        <w:rPr>
          <w:rFonts w:hint="default" w:ascii="宋体" w:hAnsi="宋体" w:eastAsia="宋体"/>
          <w:b/>
          <w:bCs/>
          <w:snapToGrid/>
          <w:color w:val="000000"/>
          <w:sz w:val="24"/>
          <w:szCs w:val="24"/>
          <w:lang w:eastAsia="zh-CN"/>
        </w:rPr>
        <w:t>共</w:t>
      </w:r>
      <w:r>
        <w:rPr>
          <w:rFonts w:hint="eastAsia" w:ascii="宋体" w:hAnsi="宋体" w:cs="宋体"/>
          <w:b/>
          <w:bCs/>
          <w:snapToGrid/>
          <w:sz w:val="24"/>
          <w:szCs w:val="24"/>
          <w:lang w:val="en-US" w:eastAsia="zh-CN"/>
        </w:rPr>
        <w:t>66</w:t>
      </w:r>
      <w:r>
        <w:rPr>
          <w:rFonts w:hint="default" w:ascii="宋体" w:hAnsi="宋体" w:eastAsia="宋体"/>
          <w:b/>
          <w:bCs/>
          <w:snapToGrid/>
          <w:color w:val="000000"/>
          <w:sz w:val="24"/>
          <w:szCs w:val="24"/>
          <w:lang w:eastAsia="zh-CN"/>
        </w:rPr>
        <w:t>分）</w:t>
      </w:r>
    </w:p>
    <w:p>
      <w:pPr>
        <w:keepNext w:val="0"/>
        <w:keepLines w:val="0"/>
        <w:pageBreakBefore w:val="0"/>
        <w:widowControl w:val="0"/>
        <w:numPr>
          <w:ilvl w:val="0"/>
          <w:numId w:val="1"/>
        </w:numPr>
        <w:kinsoku/>
        <w:wordWrap/>
        <w:overflowPunct/>
        <w:topLinePunct w:val="0"/>
        <w:autoSpaceDE/>
        <w:autoSpaceDN w:val="0"/>
        <w:bidi w:val="0"/>
        <w:adjustRightInd/>
        <w:snapToGrid/>
        <w:spacing w:line="240" w:lineRule="auto"/>
        <w:ind w:left="0" w:leftChars="0" w:right="0" w:rightChars="0" w:firstLine="482" w:firstLineChars="200"/>
        <w:textAlignment w:val="auto"/>
        <w:outlineLvl w:val="9"/>
        <w:rPr>
          <w:rFonts w:hint="default" w:ascii="宋体" w:hAnsi="宋体" w:eastAsia="宋体"/>
          <w:b/>
          <w:bCs/>
          <w:snapToGrid/>
          <w:color w:val="000000"/>
          <w:sz w:val="24"/>
          <w:szCs w:val="24"/>
          <w:lang w:eastAsia="zh-CN"/>
        </w:rPr>
      </w:pPr>
      <w:r>
        <w:rPr>
          <w:rFonts w:hint="default" w:ascii="宋体" w:hAnsi="宋体" w:eastAsia="宋体"/>
          <w:b/>
          <w:bCs/>
          <w:snapToGrid/>
          <w:color w:val="000000"/>
          <w:sz w:val="24"/>
          <w:szCs w:val="24"/>
          <w:lang w:eastAsia="zh-CN"/>
        </w:rPr>
        <w:t>选择题：本大题共</w:t>
      </w:r>
      <w:r>
        <w:rPr>
          <w:rFonts w:hint="eastAsia" w:ascii="宋体" w:hAnsi="宋体" w:cs="宋体"/>
          <w:b/>
          <w:bCs/>
          <w:snapToGrid/>
          <w:sz w:val="24"/>
          <w:szCs w:val="24"/>
          <w:lang w:val="en-US" w:eastAsia="zh-CN"/>
        </w:rPr>
        <w:t>33</w:t>
      </w:r>
      <w:r>
        <w:rPr>
          <w:rFonts w:hint="default" w:ascii="宋体" w:hAnsi="宋体" w:eastAsia="宋体"/>
          <w:b/>
          <w:bCs/>
          <w:snapToGrid/>
          <w:color w:val="000000"/>
          <w:sz w:val="24"/>
          <w:szCs w:val="24"/>
          <w:lang w:eastAsia="zh-CN"/>
        </w:rPr>
        <w:t>小题，每小题</w:t>
      </w:r>
      <w:r>
        <w:rPr>
          <w:rFonts w:hint="eastAsia" w:ascii="宋体" w:hAnsi="宋体"/>
          <w:b/>
          <w:bCs/>
          <w:snapToGrid/>
          <w:color w:val="000000"/>
          <w:sz w:val="24"/>
          <w:szCs w:val="24"/>
          <w:lang w:val="en-US" w:eastAsia="zh-CN"/>
        </w:rPr>
        <w:t>2</w:t>
      </w:r>
      <w:r>
        <w:rPr>
          <w:rFonts w:hint="default" w:ascii="宋体" w:hAnsi="宋体" w:eastAsia="宋体"/>
          <w:b/>
          <w:bCs/>
          <w:snapToGrid/>
          <w:color w:val="000000"/>
          <w:sz w:val="24"/>
          <w:szCs w:val="24"/>
          <w:lang w:eastAsia="zh-CN"/>
        </w:rPr>
        <w:t>分，共</w:t>
      </w:r>
      <w:r>
        <w:rPr>
          <w:rFonts w:hint="eastAsia" w:ascii="宋体" w:hAnsi="宋体" w:cs="宋体"/>
          <w:b/>
          <w:bCs/>
          <w:snapToGrid/>
          <w:sz w:val="24"/>
          <w:szCs w:val="24"/>
          <w:lang w:val="en-US" w:eastAsia="zh-CN"/>
        </w:rPr>
        <w:t>66</w:t>
      </w:r>
      <w:r>
        <w:rPr>
          <w:rFonts w:hint="default" w:ascii="宋体" w:hAnsi="宋体" w:eastAsia="宋体"/>
          <w:b/>
          <w:bCs/>
          <w:snapToGrid/>
          <w:color w:val="000000"/>
          <w:sz w:val="24"/>
          <w:szCs w:val="24"/>
          <w:lang w:eastAsia="zh-CN"/>
        </w:rPr>
        <w:t>分，在每小题给出的四个选项中，只有一项是符合题目要求的，请把正确答案</w:t>
      </w:r>
      <w:r>
        <w:rPr>
          <w:rFonts w:hint="eastAsia" w:ascii="宋体" w:hAnsi="宋体" w:eastAsia="宋体"/>
          <w:b/>
          <w:bCs/>
          <w:snapToGrid/>
          <w:color w:val="000000"/>
          <w:sz w:val="24"/>
          <w:szCs w:val="24"/>
          <w:lang w:eastAsia="zh-CN"/>
        </w:rPr>
        <w:t>涂在答题卡上</w:t>
      </w:r>
      <w:r>
        <w:rPr>
          <w:rFonts w:hint="default" w:ascii="宋体" w:hAnsi="宋体" w:eastAsia="宋体"/>
          <w:b/>
          <w:bCs/>
          <w:snapToGrid/>
          <w:color w:val="000000"/>
          <w:sz w:val="24"/>
          <w:szCs w:val="24"/>
          <w:lang w:eastAsia="zh-CN"/>
        </w:rPr>
        <w:t>。</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w:t>
      </w:r>
      <w:r>
        <w:rPr>
          <w:rFonts w:hint="eastAsia" w:ascii="宋体" w:hAnsi="宋体" w:eastAsia="宋体" w:cs="宋体"/>
          <w:b w:val="0"/>
          <w:bCs w:val="0"/>
          <w:sz w:val="24"/>
          <w:szCs w:val="24"/>
        </w:rPr>
        <w:t>2016年“十一”黄金周里，自由行、深度游、周边游成为游客青睐的旅游方式。针对游客旅游方式的转变，众多旅游公司推出“个性化定制”服务，如极地探险、户外拓展等，价格基本都在万元以上，并且销量可观，下列对旅游公司提供的“个性化定制”服务理解正确的是</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①是使用价值和价值的统一体</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②只有使用价值，不是商品</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③凝结了无差别的人类劳动</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④是无形的，商品价值无法实现</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color w:val="FF0000"/>
          <w:sz w:val="24"/>
          <w:szCs w:val="24"/>
        </w:rPr>
      </w:pPr>
      <w:r>
        <w:rPr>
          <w:rFonts w:hint="eastAsia" w:ascii="宋体" w:hAnsi="宋体" w:eastAsia="宋体" w:cs="宋体"/>
          <w:b w:val="0"/>
          <w:bCs w:val="0"/>
          <w:sz w:val="24"/>
          <w:szCs w:val="24"/>
        </w:rPr>
        <w:t xml:space="preserve">A．①②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B．②④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C．①③</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D．③④</w:t>
      </w:r>
    </w:p>
    <w:p>
      <w:pPr>
        <w:keepNext w:val="0"/>
        <w:keepLines w:val="0"/>
        <w:pageBreakBefore w:val="0"/>
        <w:widowControl w:val="0"/>
        <w:kinsoku/>
        <w:wordWrap/>
        <w:overflowPunct/>
        <w:topLinePunct w:val="0"/>
        <w:autoSpaceDE w:val="0"/>
        <w:autoSpaceDN w:val="0"/>
        <w:bidi w:val="0"/>
        <w:adjustRightInd/>
        <w:spacing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rPr>
        <w:t>.2015年末,美联储宣布加息0.25 个百分点,导致美元走强。在开放经济条件下,一个国家利率变动一般会引起该国货币汇率发生变化,进而影响该国商品进出口。若其他条件不变，下列选项中能正确描述此影响机制的是</w:t>
      </w:r>
    </w:p>
    <w:p>
      <w:pPr>
        <w:keepNext w:val="0"/>
        <w:keepLines w:val="0"/>
        <w:pageBreakBefore w:val="0"/>
        <w:widowControl w:val="0"/>
        <w:kinsoku/>
        <w:wordWrap/>
        <w:overflowPunct/>
        <w:topLinePunct w:val="0"/>
        <w:autoSpaceDE w:val="0"/>
        <w:autoSpaceDN w:val="0"/>
        <w:bidi w:val="0"/>
        <w:adjustRightInd/>
        <w:spacing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A.利率上升，本币贬值，出口增加    B.利率上升，本币升值，进口减少</w:t>
      </w:r>
    </w:p>
    <w:p>
      <w:pPr>
        <w:keepNext w:val="0"/>
        <w:keepLines w:val="0"/>
        <w:pageBreakBefore w:val="0"/>
        <w:widowControl w:val="0"/>
        <w:kinsoku/>
        <w:wordWrap/>
        <w:overflowPunct/>
        <w:topLinePunct w:val="0"/>
        <w:autoSpaceDE w:val="0"/>
        <w:autoSpaceDN w:val="0"/>
        <w:bidi w:val="0"/>
        <w:adjustRightInd/>
        <w:spacing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C.利率下降，本币升值，出口减少   </w:t>
      </w:r>
      <w:r>
        <w:rPr>
          <w:rFonts w:hint="eastAsia" w:ascii="宋体" w:hAnsi="宋体" w:eastAsia="宋体" w:cs="宋体"/>
          <w:b w:val="0"/>
          <w:bCs w:val="0"/>
          <w:color w:val="0000FF"/>
          <w:kern w:val="0"/>
          <w:sz w:val="24"/>
          <w:szCs w:val="24"/>
        </w:rPr>
        <w:t xml:space="preserve"> D.利率下降，本币贬值，进口减少</w:t>
      </w:r>
    </w:p>
    <w:p>
      <w:pPr>
        <w:keepNext w:val="0"/>
        <w:keepLines w:val="0"/>
        <w:pageBreakBefore w:val="0"/>
        <w:widowControl w:val="0"/>
        <w:tabs>
          <w:tab w:val="left" w:pos="3261"/>
        </w:tabs>
        <w:kinsoku/>
        <w:wordWrap/>
        <w:overflowPunct/>
        <w:topLinePunct w:val="0"/>
        <w:bidi w:val="0"/>
        <w:adjustRightInd/>
        <w:snapToGrid w:val="0"/>
        <w:spacing w:line="240" w:lineRule="auto"/>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.特别提款权（SDR）是国际货币基金组织（IMF）创设的一种国际储备资产。2015年12月，IMF将人民币纳入SDR货币篮子，占比为10.92%。人民币纳入SDR货币篮子表明</w:t>
      </w:r>
    </w:p>
    <w:p>
      <w:pPr>
        <w:keepNext w:val="0"/>
        <w:keepLines w:val="0"/>
        <w:pageBreakBefore w:val="0"/>
        <w:widowControl w:val="0"/>
        <w:tabs>
          <w:tab w:val="left" w:pos="3261"/>
        </w:tabs>
        <w:kinsoku/>
        <w:wordWrap/>
        <w:overflowPunct/>
        <w:topLinePunct w:val="0"/>
        <w:bidi w:val="0"/>
        <w:adjustRightInd/>
        <w:snapToGrid w:val="0"/>
        <w:spacing w:line="240" w:lineRule="auto"/>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①中国的经济地位上升</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②人民币国际化取得新进展</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③中国外汇储备安全性提高</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④人民币汇率稳定性增强</w:t>
      </w:r>
    </w:p>
    <w:p>
      <w:pPr>
        <w:keepNext w:val="0"/>
        <w:keepLines w:val="0"/>
        <w:pageBreakBefore w:val="0"/>
        <w:widowControl w:val="0"/>
        <w:tabs>
          <w:tab w:val="left" w:pos="3261"/>
        </w:tabs>
        <w:kinsoku/>
        <w:wordWrap/>
        <w:overflowPunct/>
        <w:topLinePunct w:val="0"/>
        <w:bidi w:val="0"/>
        <w:adjustRightInd/>
        <w:snapToGrid w:val="0"/>
        <w:spacing w:line="240" w:lineRule="auto"/>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FF"/>
          <w:sz w:val="24"/>
          <w:szCs w:val="24"/>
        </w:rPr>
        <w:t>A．①②</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B．①④</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C．②③</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D．③④</w:t>
      </w:r>
    </w:p>
    <w:p>
      <w:pPr>
        <w:keepNext w:val="0"/>
        <w:keepLines w:val="0"/>
        <w:pageBreakBefore w:val="0"/>
        <w:widowControl w:val="0"/>
        <w:tabs>
          <w:tab w:val="left" w:pos="3261"/>
        </w:tabs>
        <w:kinsoku/>
        <w:wordWrap/>
        <w:overflowPunct/>
        <w:topLinePunct w:val="0"/>
        <w:bidi w:val="0"/>
        <w:adjustRightInd/>
        <w:snapToGrid w:val="0"/>
        <w:spacing w:line="240" w:lineRule="auto"/>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据报道，市场的非理性消费使虫草、和田玉等稀缺性资源越挖越少，越少越贵，越贵越挖，步入开发的恶性循环。虫草、和田玉等地方名贵特产“越少越贵”的现象，表明其价格</w:t>
      </w:r>
    </w:p>
    <w:p>
      <w:pPr>
        <w:keepNext w:val="0"/>
        <w:keepLines w:val="0"/>
        <w:pageBreakBefore w:val="0"/>
        <w:widowControl w:val="0"/>
        <w:tabs>
          <w:tab w:val="left" w:pos="3261"/>
        </w:tabs>
        <w:kinsoku/>
        <w:wordWrap/>
        <w:overflowPunct/>
        <w:topLinePunct w:val="0"/>
        <w:bidi w:val="0"/>
        <w:adjustRightInd/>
        <w:snapToGrid w:val="0"/>
        <w:spacing w:line="240" w:lineRule="auto"/>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A．由商品供求决定，会不断上涨</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B．由商品的价值决定，会回归价值</w:t>
      </w:r>
    </w:p>
    <w:p>
      <w:pPr>
        <w:keepNext w:val="0"/>
        <w:keepLines w:val="0"/>
        <w:pageBreakBefore w:val="0"/>
        <w:widowControl w:val="0"/>
        <w:tabs>
          <w:tab w:val="left" w:pos="3261"/>
        </w:tabs>
        <w:kinsoku/>
        <w:wordWrap/>
        <w:overflowPunct/>
        <w:topLinePunct w:val="0"/>
        <w:bidi w:val="0"/>
        <w:adjustRightInd/>
        <w:snapToGrid w:val="0"/>
        <w:spacing w:line="240" w:lineRule="auto"/>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C．由消费心理决定，会上下波动</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color w:val="0000FF"/>
          <w:sz w:val="24"/>
          <w:szCs w:val="24"/>
        </w:rPr>
        <w:t>D．受到供求变化影响，会偏离价值</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今年夏季，我国东北地区发生63年来最严重的干旱，导致玉米大面积减产甚至绝收。这可能引起的连锁反应有</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①玉米价格上涨，猪饲料生产企业改用大麦作原材料</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②猪饲料价格上涨，猪肉价格上涨，生猪养殖规模扩大</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③玉米种植户收入减少，来年玉米种植面积大幅减少</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④农田水利建设受到重视，节水灌溉技术得到推广</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A．①②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B．②③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 xml:space="preserve">C．①④ </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D．③④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运用《经济生活》知识判断，下列说法中合理的是</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①大饥荒时期，土豆价格飙升，土豆需求量却仍有可能持续加大</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②经济高速增长期，必须维持宽松货币政策，不断增加货币发行量</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③春节假期来临前，加价倒卖紧俏车票符合等价交换的原则</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④经济快速下滑期，企业通过社会集资等方式，可适当缓解融资难的问题</w:t>
      </w:r>
    </w:p>
    <w:p>
      <w:pPr>
        <w:pStyle w:val="2"/>
        <w:keepNext w:val="0"/>
        <w:keepLines w:val="0"/>
        <w:pageBreakBefore w:val="0"/>
        <w:widowControl w:val="0"/>
        <w:numPr>
          <w:ilvl w:val="0"/>
          <w:numId w:val="2"/>
        </w:numPr>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①②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color w:val="0000FF"/>
          <w:sz w:val="24"/>
          <w:szCs w:val="24"/>
        </w:rPr>
        <w:t>B．①④</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C．②④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D．③④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阿里巴巴集团披露的数据称，截至12日零时，2016天猫“双11”全球狂欢节交易额定格在1207.48亿元，无线交易额占比达到82%。在迈入“千亿时代”的同时，也刷新了单日全球零售的历史记录。作为新兴业态，电子商务模式对居民消费产生越来越大的影响。下列对该商务模式影响传递路径分析正确的是</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A．居民收入增加—消费观念转变—流通环节减少—促进居民消费</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B．流通环节减少—商品价格下降—商品流通成本降低—促进居民消费</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C．消费观念转变—商品价格下降—流通环节减少—促进居民消费</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color w:val="0000FF"/>
          <w:sz w:val="24"/>
          <w:szCs w:val="24"/>
        </w:rPr>
      </w:pPr>
      <w:r>
        <w:rPr>
          <w:rFonts w:hint="eastAsia" w:ascii="宋体" w:hAnsi="宋体" w:eastAsia="宋体" w:cs="宋体"/>
          <w:b w:val="0"/>
          <w:bCs w:val="0"/>
          <w:color w:val="0000FF"/>
          <w:sz w:val="24"/>
          <w:szCs w:val="24"/>
        </w:rPr>
        <w:t>D．流通环节减少—商品流通成本降低—商品价格下降—促进居民消费</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“世界那么大，我想去看看”与我国2016年政府工作报告中提出的“大众旅游时代”有着某种契合。下列措施有利于推进“大众旅游时代”到来的有</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①不断完善交通基础设施</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②国家加大对旅游龙头企业经营管理的参与力度　③把旅游业作为经济发展方式转变的主攻方向</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④建立健全职工工资正常增长机制</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A．①②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B．①④</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C．②③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D．③④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如果说“生产方式绿色化”是国家从宏观层面着眼于构建科技含量高、环境污染少的生产方式的话，那么“生活方式绿色化”强调的则是公众在日常生活的行为养成上，要有与时俱进的绿色生活理念。践行“生活方式绿色化”需要</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①消费模式向勤俭节约、绿色低碳、文明健康的方向转变</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②完善法规标准政策体系，为生活方式绿色化提供支撑</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③自觉抵制过度消费、炫耀式消费等畸形消费观</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④加大绿色产品研发力度，实现发展方式转变</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A．①②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B．③④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C．②④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D．①③</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hAnsi="宋体" w:cs="宋体"/>
          <w:b w:val="0"/>
          <w:bCs w:val="0"/>
          <w:sz w:val="24"/>
          <w:szCs w:val="24"/>
          <w:lang w:eastAsia="zh-CN"/>
        </w:rPr>
        <w:t>改革前</w:t>
      </w:r>
      <w:r>
        <w:rPr>
          <w:rFonts w:hint="eastAsia" w:hAnsi="宋体" w:cs="宋体"/>
          <w:b w:val="0"/>
          <w:bCs w:val="0"/>
          <w:sz w:val="24"/>
          <w:szCs w:val="24"/>
          <w:lang w:val="en-US" w:eastAsia="zh-CN"/>
        </w:rPr>
        <w:t>,农村集体土地是所有权与经营权合一;家庭承包责任制,把土地所有权和承包经营权分开;现在,要促使农民土地承包权和经营权的分离,形成所有权、承包权、经营权三权分置。土地“三权分置”</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sz w:val="24"/>
          <w:szCs w:val="24"/>
          <w:lang w:val="en-US" w:eastAsia="zh-CN"/>
        </w:rPr>
      </w:pPr>
      <w:r>
        <w:rPr>
          <w:rFonts w:hint="eastAsia" w:ascii="宋体" w:hAnsi="宋体" w:eastAsia="宋体" w:cs="宋体"/>
          <w:b w:val="0"/>
          <w:bCs w:val="0"/>
          <w:color w:val="000000" w:themeColor="text1"/>
          <w:sz w:val="24"/>
          <w:szCs w:val="24"/>
          <w14:textFill>
            <w14:solidFill>
              <w14:schemeClr w14:val="tx1"/>
            </w14:solidFill>
          </w14:textFill>
        </w:rPr>
        <w:t>A．</w:t>
      </w:r>
      <w:r>
        <w:rPr>
          <w:rFonts w:hint="eastAsia" w:hAnsi="宋体" w:cs="宋体"/>
          <w:b w:val="0"/>
          <w:bCs w:val="0"/>
          <w:color w:val="000000" w:themeColor="text1"/>
          <w:sz w:val="24"/>
          <w:szCs w:val="24"/>
          <w:lang w:eastAsia="zh-CN"/>
          <w14:textFill>
            <w14:solidFill>
              <w14:schemeClr w14:val="tx1"/>
            </w14:solidFill>
          </w14:textFill>
        </w:rPr>
        <w:t>改变了农村土地集体所有权性质</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B．</w:t>
      </w:r>
      <w:r>
        <w:rPr>
          <w:rFonts w:hint="eastAsia" w:hAnsi="宋体" w:cs="宋体"/>
          <w:b w:val="0"/>
          <w:bCs w:val="0"/>
          <w:sz w:val="24"/>
          <w:szCs w:val="24"/>
          <w:lang w:eastAsia="zh-CN"/>
        </w:rPr>
        <w:t>保证了农村集体经济的主体地位</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FF"/>
          <w:sz w:val="24"/>
          <w:szCs w:val="24"/>
        </w:rPr>
        <w:t>C．</w:t>
      </w:r>
      <w:r>
        <w:rPr>
          <w:rFonts w:hint="eastAsia" w:hAnsi="宋体" w:cs="宋体"/>
          <w:b w:val="0"/>
          <w:bCs w:val="0"/>
          <w:color w:val="0000FF"/>
          <w:sz w:val="24"/>
          <w:szCs w:val="24"/>
          <w:lang w:eastAsia="zh-CN"/>
        </w:rPr>
        <w:t>有利于促进土地经营权优化配置</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D．</w:t>
      </w:r>
      <w:r>
        <w:rPr>
          <w:rFonts w:hint="eastAsia" w:hAnsi="宋体" w:cs="宋体"/>
          <w:b w:val="0"/>
          <w:bCs w:val="0"/>
          <w:sz w:val="24"/>
          <w:szCs w:val="24"/>
          <w:lang w:eastAsia="zh-CN"/>
        </w:rPr>
        <w:t>扩大了非公有制经济的影响范围</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对于中国经济来说，经济增长的传统发展动力主要是依靠政府投资，现在要转变为依靠创新驱动。发展动力转变带来的变化，其合理的传导路径可以是</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①创造出更高水平的供给</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②不断推进产品的创新</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③新的需求推动产能的扩大</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④刺激了居民的消费需求</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A．④→③→②→①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B．④→①→②→③</w:t>
      </w:r>
    </w:p>
    <w:p>
      <w:pPr>
        <w:pStyle w:val="2"/>
        <w:keepNext w:val="0"/>
        <w:keepLines w:val="0"/>
        <w:pageBreakBefore w:val="0"/>
        <w:widowControl w:val="0"/>
        <w:numPr>
          <w:ilvl w:val="0"/>
          <w:numId w:val="0"/>
        </w:numPr>
        <w:tabs>
          <w:tab w:val="left" w:pos="4620"/>
        </w:tabs>
        <w:kinsoku/>
        <w:wordWrap/>
        <w:overflowPunct/>
        <w:topLinePunct w:val="0"/>
        <w:bidi w:val="0"/>
        <w:adjustRightInd/>
        <w:snapToGrid w:val="0"/>
        <w:spacing w:line="240" w:lineRule="auto"/>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C．①→④→②→③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D．②→④→③→①</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sz w:val="24"/>
          <w:szCs w:val="24"/>
          <w:lang w:val="en-US" w:eastAsia="zh-CN"/>
        </w:rPr>
      </w:pPr>
      <w:r>
        <w:rPr>
          <w:rFonts w:hint="eastAsia" w:hAnsi="宋体" w:cs="宋体"/>
          <w:b w:val="0"/>
          <w:bCs w:val="0"/>
          <w:sz w:val="24"/>
          <w:szCs w:val="24"/>
          <w:lang w:val="en-US" w:eastAsia="zh-CN"/>
        </w:rPr>
        <w:t>12.近年来，工业机器人在洗车、电子等诸多领域的高温、有毒、有害环节被广泛应用，珠三角制造业对工业机器人的需求扩大，需求年增速达30%。与此同时，珠三角工业机器人产业开始进入爆发式增长期。这说明</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sz w:val="24"/>
          <w:szCs w:val="24"/>
          <w:lang w:val="en-US" w:eastAsia="zh-CN"/>
        </w:rPr>
      </w:pPr>
      <w:r>
        <w:rPr>
          <w:rFonts w:hint="eastAsia" w:ascii="宋体" w:hAnsi="宋体" w:eastAsia="宋体" w:cs="宋体"/>
          <w:b w:val="0"/>
          <w:bCs w:val="0"/>
          <w:color w:val="000000" w:themeColor="text1"/>
          <w:sz w:val="24"/>
          <w:szCs w:val="24"/>
          <w14:textFill>
            <w14:solidFill>
              <w14:schemeClr w14:val="tx1"/>
            </w14:solidFill>
          </w14:textFill>
        </w:rPr>
        <w:t>A．</w:t>
      </w:r>
      <w:r>
        <w:rPr>
          <w:rFonts w:hint="eastAsia" w:hAnsi="宋体" w:cs="宋体"/>
          <w:b w:val="0"/>
          <w:bCs w:val="0"/>
          <w:color w:val="000000" w:themeColor="text1"/>
          <w:sz w:val="24"/>
          <w:szCs w:val="24"/>
          <w:lang w:eastAsia="zh-CN"/>
          <w14:textFill>
            <w14:solidFill>
              <w14:schemeClr w14:val="tx1"/>
            </w14:solidFill>
          </w14:textFill>
        </w:rPr>
        <w:t>生产决定消费的质量和水平</w:t>
      </w:r>
      <w:r>
        <w:rPr>
          <w:rFonts w:hint="eastAsia" w:hAnsi="宋体" w:cs="宋体"/>
          <w:b w:val="0"/>
          <w:bCs w:val="0"/>
          <w:sz w:val="24"/>
          <w:szCs w:val="24"/>
          <w:lang w:val="en-US" w:eastAsia="zh-CN"/>
        </w:rPr>
        <w:t xml:space="preserve">     </w:t>
      </w:r>
      <w:r>
        <w:rPr>
          <w:rFonts w:hint="eastAsia" w:hAnsi="宋体" w:cs="宋体"/>
          <w:b w:val="0"/>
          <w:bCs w:val="0"/>
          <w:color w:val="0000FF"/>
          <w:sz w:val="24"/>
          <w:szCs w:val="24"/>
          <w:lang w:val="en-US" w:eastAsia="zh-CN"/>
        </w:rPr>
        <w:t xml:space="preserve"> </w:t>
      </w:r>
      <w:r>
        <w:rPr>
          <w:rFonts w:hint="eastAsia" w:ascii="宋体" w:hAnsi="宋体" w:eastAsia="宋体" w:cs="宋体"/>
          <w:b w:val="0"/>
          <w:bCs w:val="0"/>
          <w:color w:val="0000FF"/>
          <w:sz w:val="24"/>
          <w:szCs w:val="24"/>
        </w:rPr>
        <w:t>B．</w:t>
      </w:r>
      <w:r>
        <w:rPr>
          <w:rFonts w:hint="eastAsia" w:hAnsi="宋体" w:cs="宋体"/>
          <w:b w:val="0"/>
          <w:bCs w:val="0"/>
          <w:color w:val="0000FF"/>
          <w:sz w:val="24"/>
          <w:szCs w:val="24"/>
          <w:lang w:eastAsia="zh-CN"/>
        </w:rPr>
        <w:t>消费需求对生产具有导向作用</w:t>
      </w:r>
      <w:r>
        <w:rPr>
          <w:rFonts w:hint="eastAsia" w:ascii="宋体" w:hAnsi="宋体" w:eastAsia="宋体" w:cs="宋体"/>
          <w:b w:val="0"/>
          <w:bCs w:val="0"/>
          <w:color w:val="0000FF"/>
          <w:sz w:val="24"/>
          <w:szCs w:val="24"/>
        </w:rPr>
        <w:t xml:space="preserve">  </w:t>
      </w:r>
      <w:r>
        <w:rPr>
          <w:rFonts w:hint="eastAsia" w:hAnsi="宋体" w:cs="宋体"/>
          <w:b w:val="0"/>
          <w:bCs w:val="0"/>
          <w:sz w:val="24"/>
          <w:szCs w:val="24"/>
          <w:lang w:val="en-US" w:eastAsia="zh-CN"/>
        </w:rPr>
        <w:t xml:space="preserve">     </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C．</w:t>
      </w:r>
      <w:r>
        <w:rPr>
          <w:rFonts w:hint="eastAsia" w:hAnsi="宋体" w:cs="宋体"/>
          <w:b w:val="0"/>
          <w:bCs w:val="0"/>
          <w:color w:val="000000" w:themeColor="text1"/>
          <w:sz w:val="24"/>
          <w:szCs w:val="24"/>
          <w:lang w:eastAsia="zh-CN"/>
          <w14:textFill>
            <w14:solidFill>
              <w14:schemeClr w14:val="tx1"/>
            </w14:solidFill>
          </w14:textFill>
        </w:rPr>
        <w:t>价格变动会调节生产要素的投入</w:t>
      </w:r>
      <w:r>
        <w:rPr>
          <w:rFonts w:hint="eastAsia" w:ascii="宋体" w:hAnsi="宋体" w:eastAsia="宋体" w:cs="宋体"/>
          <w:b w:val="0"/>
          <w:bCs w:val="0"/>
          <w:color w:val="000000" w:themeColor="text1"/>
          <w:sz w:val="24"/>
          <w:szCs w:val="24"/>
          <w14:textFill>
            <w14:solidFill>
              <w14:schemeClr w14:val="tx1"/>
            </w14:solidFill>
          </w14:textFill>
        </w:rPr>
        <w:t xml:space="preserve"> </w:t>
      </w:r>
      <w:r>
        <w:rPr>
          <w:rFonts w:hint="eastAsia"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14:textFill>
            <w14:solidFill>
              <w14:schemeClr w14:val="tx1"/>
            </w14:solidFill>
          </w14:textFill>
        </w:rPr>
        <w:t>D．</w:t>
      </w:r>
      <w:r>
        <w:rPr>
          <w:rFonts w:hint="eastAsia" w:hAnsi="宋体" w:cs="宋体"/>
          <w:b w:val="0"/>
          <w:bCs w:val="0"/>
          <w:color w:val="000000" w:themeColor="text1"/>
          <w:sz w:val="24"/>
          <w:szCs w:val="24"/>
          <w:lang w:eastAsia="zh-CN"/>
          <w14:textFill>
            <w14:solidFill>
              <w14:schemeClr w14:val="tx1"/>
            </w14:solidFill>
          </w14:textFill>
        </w:rPr>
        <w:t>科技进步可以提高劳动生产率</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13</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中国共产党十八届五中全会审议通过了《中共中央关于制定国民经济和社会发展第十三个五年规划的建议》。《建议》强调，“推进产权保护法治化，依法保护各种所有制经济权益”。这有利于</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color w:val="0000FF"/>
          <w:sz w:val="24"/>
          <w:szCs w:val="24"/>
        </w:rPr>
      </w:pPr>
      <w:r>
        <w:rPr>
          <w:rFonts w:hint="eastAsia" w:ascii="宋体" w:hAnsi="宋体" w:eastAsia="宋体" w:cs="宋体"/>
          <w:b w:val="0"/>
          <w:bCs w:val="0"/>
          <w:sz w:val="24"/>
          <w:szCs w:val="24"/>
        </w:rPr>
        <w:t>①维护公有财产权，巩固公有制经济的主导地位</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②保护私有财产权，激发非公有制经济活力和创造力</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③各类资本的流动和重组，促进混合所有制经济发展</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④增强企业和公众创业创新动力，支持各种所有制经济同速发展</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themeColor="text1"/>
          <w:sz w:val="24"/>
          <w:szCs w:val="24"/>
          <w14:textFill>
            <w14:solidFill>
              <w14:schemeClr w14:val="tx1"/>
            </w14:solidFill>
          </w14:textFill>
        </w:rPr>
        <w:t>A．①②</w:t>
      </w:r>
      <w:r>
        <w:rPr>
          <w:rFonts w:hint="eastAsia" w:ascii="宋体" w:hAnsi="宋体" w:eastAsia="宋体" w:cs="宋体"/>
          <w:b w:val="0"/>
          <w:bCs w:val="0"/>
          <w:color w:val="0000FF"/>
          <w:sz w:val="24"/>
          <w:szCs w:val="24"/>
        </w:rPr>
        <w:t xml:space="preserve">  </w:t>
      </w:r>
      <w:r>
        <w:rPr>
          <w:rFonts w:hint="eastAsia" w:hAnsi="宋体" w:cs="宋体"/>
          <w:b w:val="0"/>
          <w:bCs w:val="0"/>
          <w:color w:val="0000FF"/>
          <w:sz w:val="24"/>
          <w:szCs w:val="24"/>
          <w:lang w:val="en-US" w:eastAsia="zh-CN"/>
        </w:rPr>
        <w:t xml:space="preserve">     </w:t>
      </w:r>
      <w:r>
        <w:rPr>
          <w:rFonts w:hint="eastAsia" w:ascii="宋体" w:hAnsi="宋体" w:eastAsia="宋体" w:cs="宋体"/>
          <w:b w:val="0"/>
          <w:bCs w:val="0"/>
          <w:color w:val="0000FF"/>
          <w:sz w:val="24"/>
          <w:szCs w:val="24"/>
        </w:rPr>
        <w:t>B．②③</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C．③④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D．①④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14</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当前，电梯行业出现产能过剩、市场走落现象，电梯企业的发展模式出现了重大变化：产业结构由以制造业为主逐渐调整到以服务业为主；产品结构向更安全、更可靠、安装维保更方便、节能环保智能化的方向发展。这表明</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①企业应通过优化管理提高生产效率</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②企业应扩大规模以降低生产成本</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③企业应立足市场需求确定经营战略</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④市场变化能倒逼企业进行转型升级</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A．①②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B．①③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C．②④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D．③④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15</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国内最大的两家轨道交通设备制造企业“中国北车”和“中国南车”进行合并，合并背后的导火索是两家在海外市场竞标相互压价的恶性竞争，内耗严重。企业合并重组可以</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①消除重叠产品和多余研发支出，降低企业成本</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②避免相互压价影响利润率，充分保障国家利益</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③集中双方优势参与国际竞争，形成国际垄断</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④优化资源配置，充分发挥宏观调控的决定性作用</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A．①③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 xml:space="preserve">B．①② </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C．②③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D．①④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16</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伴随着“互联网＋”的新兴与普及，越来越多的自由职业者借助互联网平台获取新的工作机会，从设计、软件、文案到美甲、家政等，无论是体力劳动者还是脑力劳动者，都能找到自己的用武之地。发展这种全新的经济模式</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①便于劳动者更加灵活地选择就业</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②有利于促进劳动力资源优化配置</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③便于政府对劳动力市场进行监管</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④有利于劳动者实现更高质量就业</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FF"/>
          <w:sz w:val="24"/>
          <w:szCs w:val="24"/>
        </w:rPr>
        <w:t>A．①②</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B．①③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C．②④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D．③④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17</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一直以来，信托和理财产品都保持着刚性兑付，即投资者买入高风险、高收益理财产品或信托产品时总有银行或者信托公司作为最后的兜底，但这一状况恐怕会在未来发生改变。刚性兑付</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①可能导致商业银行存款的流失</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②有利于银行发售保本型理财产品</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③没有增加金融体系的整体风险</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④不利于培养投资者的风险意识</w:t>
      </w:r>
    </w:p>
    <w:p>
      <w:pPr>
        <w:pStyle w:val="2"/>
        <w:keepNext w:val="0"/>
        <w:keepLines w:val="0"/>
        <w:pageBreakBefore w:val="0"/>
        <w:widowControl w:val="0"/>
        <w:numPr>
          <w:ilvl w:val="0"/>
          <w:numId w:val="3"/>
        </w:numPr>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①② </w:t>
      </w:r>
      <w:r>
        <w:rPr>
          <w:rFonts w:hint="eastAsia" w:ascii="宋体" w:hAnsi="宋体" w:eastAsia="宋体" w:cs="宋体"/>
          <w:b w:val="0"/>
          <w:bCs w:val="0"/>
          <w:color w:val="0000FF"/>
          <w:sz w:val="24"/>
          <w:szCs w:val="24"/>
        </w:rPr>
        <w:t xml:space="preserve"> </w:t>
      </w:r>
      <w:r>
        <w:rPr>
          <w:rFonts w:hint="eastAsia" w:hAnsi="宋体" w:cs="宋体"/>
          <w:b w:val="0"/>
          <w:bCs w:val="0"/>
          <w:color w:val="0000FF"/>
          <w:sz w:val="24"/>
          <w:szCs w:val="24"/>
          <w:lang w:val="en-US" w:eastAsia="zh-CN"/>
        </w:rPr>
        <w:t xml:space="preserve">     </w:t>
      </w:r>
      <w:r>
        <w:rPr>
          <w:rFonts w:hint="eastAsia" w:ascii="宋体" w:hAnsi="宋体" w:eastAsia="宋体" w:cs="宋体"/>
          <w:b w:val="0"/>
          <w:bCs w:val="0"/>
          <w:color w:val="0000FF"/>
          <w:sz w:val="24"/>
          <w:szCs w:val="24"/>
        </w:rPr>
        <w:t>B．①④</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C．②③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D．③④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18</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老赵有500万元资金，准备选择一个项目进行投资。甲项目期限为1个月(一个月按30天计算)，每天收益为1000元；乙项目期限为5个月，到期收益约为28万元，但需支付本金的1%作为交易佣金；丙项目期限为6个月，年收益率为5%～10%；丁项目期限为3个月，到期收益约为12万元。若只考虑收益率因素，老赵会选择</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A．甲项目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B．乙项目</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C．丙项目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D．丁项目</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19</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2016年1月11日，我国首个糖料蔗价格指数保险试点在广西启动。这一保险以白糖的市场销售价格为参照标准，由保险公司对甘蔗种植经营户或糖企由于白糖价格波动造成的损失给予一定补偿，以确保食糖生产各方预期收益。根据试点方案的规定，保险费用由财政补贴80%，甘蔗种植经营户和糖企各承担10%。此举有利于</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①防范糖价波动带来的风险，保障农户和糖企利益　②拓展保险公司业务范围，帮助投保人保本获息　③促进我国蔗糖产业的可持续发展　④畅通农村资金需求者融资渠道，改善投资环境</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FF"/>
          <w:sz w:val="24"/>
          <w:szCs w:val="24"/>
        </w:rPr>
        <w:t>A．①③</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B．②③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C．②④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D．①④</w:t>
      </w:r>
    </w:p>
    <w:p>
      <w:pPr>
        <w:pStyle w:val="10"/>
        <w:keepNext w:val="0"/>
        <w:keepLines w:val="0"/>
        <w:pageBreakBefore w:val="0"/>
        <w:widowControl w:val="0"/>
        <w:kinsoku/>
        <w:wordWrap/>
        <w:overflowPunct/>
        <w:topLinePunct w:val="0"/>
        <w:bidi w:val="0"/>
        <w:adjustRightInd/>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20.</w:t>
      </w:r>
      <w:r>
        <w:rPr>
          <w:rFonts w:hint="eastAsia" w:ascii="宋体" w:hAnsi="宋体" w:eastAsia="宋体" w:cs="宋体"/>
          <w:b w:val="0"/>
          <w:bCs w:val="0"/>
          <w:sz w:val="24"/>
          <w:szCs w:val="24"/>
        </w:rPr>
        <w:t>李先生购买某上市公司的股票，成了该公司的股东。下列说法合理的是</w:t>
      </w:r>
    </w:p>
    <w:p>
      <w:pPr>
        <w:pStyle w:val="10"/>
        <w:keepNext w:val="0"/>
        <w:keepLines w:val="0"/>
        <w:pageBreakBefore w:val="0"/>
        <w:widowControl w:val="0"/>
        <w:kinsoku/>
        <w:wordWrap/>
        <w:overflowPunct/>
        <w:topLinePunct w:val="0"/>
        <w:bidi w:val="0"/>
        <w:adjustRightInd/>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①李先生取得股票后就不能改变其公司股东的身份</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②李先生有权参加股东大会，参与公司的重大决策</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③李先生应该以其认购的股份为限对公司承担责任</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④李先生拥有该公司股份凭证，可以定期获取红利</w:t>
      </w:r>
    </w:p>
    <w:p>
      <w:pPr>
        <w:pStyle w:val="10"/>
        <w:keepNext w:val="0"/>
        <w:keepLines w:val="0"/>
        <w:pageBreakBefore w:val="0"/>
        <w:widowControl w:val="0"/>
        <w:kinsoku/>
        <w:wordWrap/>
        <w:overflowPunct/>
        <w:topLinePunct w:val="0"/>
        <w:bidi w:val="0"/>
        <w:adjustRightInd/>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A.①②    B.①④    </w:t>
      </w:r>
      <w:r>
        <w:rPr>
          <w:rFonts w:hint="eastAsia" w:ascii="宋体" w:hAnsi="宋体" w:eastAsia="宋体" w:cs="宋体"/>
          <w:b w:val="0"/>
          <w:bCs w:val="0"/>
          <w:color w:val="0000FF"/>
          <w:sz w:val="24"/>
          <w:szCs w:val="24"/>
        </w:rPr>
        <w:t>C.②③</w:t>
      </w:r>
      <w:r>
        <w:rPr>
          <w:rFonts w:hint="eastAsia" w:ascii="宋体" w:hAnsi="宋体" w:eastAsia="宋体" w:cs="宋体"/>
          <w:b w:val="0"/>
          <w:bCs w:val="0"/>
          <w:sz w:val="24"/>
          <w:szCs w:val="24"/>
        </w:rPr>
        <w:t xml:space="preserve">    D.③④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21</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某家庭有甲、乙两劳动力，城镇化建设中，该家庭承包的6亩地以每年每亩1100元转包给一私营农业公司经营。当年该公司聘用甲在公司打工，月工资1200元；乙在一家中型国有企业工作，工资、薪金年收入30000元，当年乙专利技术转让所得为3000元。则该家庭当年按生产要素分配所得收入为</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A．1.55万元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B．2.4万元</w:t>
      </w:r>
      <w:r>
        <w:rPr>
          <w:rFonts w:hint="eastAsia" w:hAnsi="宋体" w:cs="宋体"/>
          <w:b w:val="0"/>
          <w:bCs w:val="0"/>
          <w:color w:val="0000FF"/>
          <w:sz w:val="24"/>
          <w:szCs w:val="24"/>
          <w:lang w:val="en-US" w:eastAsia="zh-CN"/>
        </w:rPr>
        <w:t xml:space="preserve">    </w:t>
      </w:r>
      <w:r>
        <w:rPr>
          <w:rFonts w:hint="eastAsia" w:ascii="宋体" w:hAnsi="宋体" w:eastAsia="宋体" w:cs="宋体"/>
          <w:b w:val="0"/>
          <w:bCs w:val="0"/>
          <w:sz w:val="24"/>
          <w:szCs w:val="24"/>
        </w:rPr>
        <w:t>C．1.74万元</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D．4.85万元</w:t>
      </w:r>
    </w:p>
    <w:p>
      <w:pPr>
        <w:pStyle w:val="2"/>
        <w:keepNext w:val="0"/>
        <w:keepLines w:val="0"/>
        <w:pageBreakBefore w:val="0"/>
        <w:tabs>
          <w:tab w:val="left" w:pos="4620"/>
        </w:tabs>
        <w:kinsoku/>
        <w:wordWrap/>
        <w:overflowPunct/>
        <w:topLinePunct w:val="0"/>
        <w:bidi w:val="0"/>
        <w:adjustRightInd/>
        <w:snapToGrid w:val="0"/>
        <w:spacing w:line="240" w:lineRule="auto"/>
        <w:ind w:left="0" w:leftChars="0" w:right="0" w:rightChars="0" w:firstLine="480" w:firstLineChars="200"/>
        <w:textAlignment w:val="auto"/>
        <w:rPr>
          <w:rFonts w:hint="eastAsia" w:ascii="宋体" w:hAnsi="宋体" w:eastAsia="宋体" w:cs="宋体"/>
          <w:b w:val="0"/>
          <w:bCs/>
          <w:sz w:val="24"/>
          <w:szCs w:val="24"/>
        </w:rPr>
      </w:pPr>
      <w:r>
        <w:rPr>
          <w:rFonts w:hint="eastAsia" w:hAnsi="宋体" w:cs="宋体"/>
          <w:b w:val="0"/>
          <w:bCs w:val="0"/>
          <w:sz w:val="24"/>
          <w:szCs w:val="24"/>
          <w:lang w:val="en-US" w:eastAsia="zh-CN"/>
        </w:rPr>
        <w:t>22</w:t>
      </w:r>
      <w:r>
        <w:rPr>
          <w:rFonts w:hint="eastAsia" w:ascii="宋体" w:hAnsi="宋体" w:eastAsia="宋体" w:cs="宋体"/>
          <w:b w:val="0"/>
          <w:bCs w:val="0"/>
          <w:sz w:val="24"/>
          <w:szCs w:val="24"/>
          <w:lang w:val="en-US" w:eastAsia="zh-CN"/>
        </w:rPr>
        <w:t>.</w:t>
      </w:r>
      <w:r>
        <w:rPr>
          <w:rFonts w:hint="eastAsia" w:ascii="宋体" w:hAnsi="宋体" w:eastAsia="宋体" w:cs="宋体"/>
          <w:b w:val="0"/>
          <w:bCs/>
          <w:sz w:val="24"/>
          <w:szCs w:val="24"/>
        </w:rPr>
        <w:t>“短作业优先法”是华罗庚“统筹方法”的变例。某银行网点根据客户业务办理时间的不同，在各作业窗口间调配，缩短了所有人办理业务的总等待时间，一定时间内可以让更多的人完成业务办理。这说明</w:t>
      </w:r>
    </w:p>
    <w:p>
      <w:pPr>
        <w:pStyle w:val="2"/>
        <w:keepNext w:val="0"/>
        <w:keepLines w:val="0"/>
        <w:pageBreakBefore w:val="0"/>
        <w:tabs>
          <w:tab w:val="left" w:pos="4620"/>
        </w:tabs>
        <w:kinsoku/>
        <w:wordWrap/>
        <w:overflowPunct/>
        <w:topLinePunct w:val="0"/>
        <w:bidi w:val="0"/>
        <w:adjustRightInd/>
        <w:snapToGrid w:val="0"/>
        <w:spacing w:line="240" w:lineRule="auto"/>
        <w:ind w:left="0" w:leftChars="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①促进公平需要合理的机制和政策</w:t>
      </w:r>
      <w:r>
        <w:rPr>
          <w:rFonts w:hint="eastAsia" w:hAnsi="宋体" w:cs="宋体"/>
          <w:b w:val="0"/>
          <w:bCs/>
          <w:sz w:val="24"/>
          <w:szCs w:val="24"/>
          <w:lang w:val="en-US" w:eastAsia="zh-CN"/>
        </w:rPr>
        <w:t xml:space="preserve"> </w:t>
      </w:r>
      <w:r>
        <w:rPr>
          <w:rFonts w:hint="eastAsia" w:ascii="宋体" w:hAnsi="宋体" w:eastAsia="宋体" w:cs="宋体"/>
          <w:b w:val="0"/>
          <w:bCs/>
          <w:sz w:val="24"/>
          <w:szCs w:val="24"/>
        </w:rPr>
        <w:t>②效率的提高意味着社会财富的增加</w:t>
      </w:r>
      <w:r>
        <w:rPr>
          <w:rFonts w:hint="eastAsia" w:hAnsi="宋体" w:cs="宋体"/>
          <w:b w:val="0"/>
          <w:bCs/>
          <w:sz w:val="24"/>
          <w:szCs w:val="24"/>
          <w:lang w:val="en-US" w:eastAsia="zh-CN"/>
        </w:rPr>
        <w:t xml:space="preserve"> </w:t>
      </w:r>
      <w:r>
        <w:rPr>
          <w:rFonts w:hint="eastAsia" w:ascii="宋体" w:hAnsi="宋体" w:eastAsia="宋体" w:cs="宋体"/>
          <w:b w:val="0"/>
          <w:bCs/>
          <w:sz w:val="24"/>
          <w:szCs w:val="24"/>
        </w:rPr>
        <w:t>③效率是公平的物质前提和保证</w:t>
      </w:r>
      <w:r>
        <w:rPr>
          <w:rFonts w:hint="eastAsia" w:hAnsi="宋体" w:cs="宋体"/>
          <w:b w:val="0"/>
          <w:bCs/>
          <w:sz w:val="24"/>
          <w:szCs w:val="24"/>
          <w:lang w:val="en-US" w:eastAsia="zh-CN"/>
        </w:rPr>
        <w:t xml:space="preserve"> </w:t>
      </w:r>
      <w:r>
        <w:rPr>
          <w:rFonts w:hint="eastAsia" w:ascii="宋体" w:hAnsi="宋体" w:eastAsia="宋体" w:cs="宋体"/>
          <w:b w:val="0"/>
          <w:bCs/>
          <w:sz w:val="24"/>
          <w:szCs w:val="24"/>
        </w:rPr>
        <w:t>④合理的公平表现为相对平等</w:t>
      </w:r>
    </w:p>
    <w:p>
      <w:pPr>
        <w:pStyle w:val="2"/>
        <w:keepNext w:val="0"/>
        <w:keepLines w:val="0"/>
        <w:pageBreakBefore w:val="0"/>
        <w:tabs>
          <w:tab w:val="left" w:pos="4620"/>
        </w:tabs>
        <w:kinsoku/>
        <w:wordWrap/>
        <w:overflowPunct/>
        <w:topLinePunct w:val="0"/>
        <w:bidi w:val="0"/>
        <w:adjustRightInd/>
        <w:snapToGrid w:val="0"/>
        <w:spacing w:line="240" w:lineRule="auto"/>
        <w:ind w:left="0" w:leftChars="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color w:val="0000FF"/>
          <w:sz w:val="24"/>
          <w:szCs w:val="24"/>
        </w:rPr>
        <w:t xml:space="preserve">A．①② </w:t>
      </w:r>
      <w:r>
        <w:rPr>
          <w:rFonts w:hint="eastAsia" w:ascii="宋体" w:hAnsi="宋体" w:eastAsia="宋体" w:cs="宋体"/>
          <w:b w:val="0"/>
          <w:bCs/>
          <w:sz w:val="24"/>
          <w:szCs w:val="24"/>
        </w:rPr>
        <w:t xml:space="preserve">     B．①③  C．②③      D．①④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23</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基尼系数，是国际上用来综合考察居民内部收入分配差异状况的一个重要分析指标。基尼系数的数值越低，表明财富在社会成员之间的分配越均匀。下列做法中有利于降低基尼系数的是</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①保护居民合法的财产性收入</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②提高务工人员最低工资标准</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③个人收入按超额累进税率缴税</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④健全生产要素按贡献参与分配制度</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A．①③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B．①④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color w:val="0000FF"/>
          <w:sz w:val="24"/>
          <w:szCs w:val="24"/>
        </w:rPr>
        <w:t>C．②③</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D．②④</w:t>
      </w:r>
    </w:p>
    <w:p>
      <w:pPr>
        <w:keepNext w:val="0"/>
        <w:keepLines w:val="0"/>
        <w:pageBreakBefore w:val="0"/>
        <w:widowControl w:val="0"/>
        <w:kinsoku/>
        <w:wordWrap/>
        <w:overflowPunct/>
        <w:topLinePunct w:val="0"/>
        <w:bidi w:val="0"/>
        <w:adjustRightInd/>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24</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十三五”规划建议中，指向缩小收入差距和缓解收入分配不公的亮点颇多。在经济保持中高速增长的目标中，强调平衡性，首次提到包容性，这都与缩小收入差距密切相关。下列说法有利于实现平衡性和包容性的有</w:t>
      </w:r>
    </w:p>
    <w:p>
      <w:pPr>
        <w:keepNext w:val="0"/>
        <w:keepLines w:val="0"/>
        <w:pageBreakBefore w:val="0"/>
        <w:widowControl w:val="0"/>
        <w:kinsoku/>
        <w:wordWrap/>
        <w:overflowPunct/>
        <w:topLinePunct w:val="0"/>
        <w:bidi w:val="0"/>
        <w:adjustRightInd/>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①提高劳动报酬在再分配中的比重</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②健全生产要素按贡献参与分配的制度</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③逐步实现城乡基本公共服务均等化</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④增加低收入者收入，扩大中等收入者比重</w:t>
      </w:r>
    </w:p>
    <w:p>
      <w:pPr>
        <w:keepNext w:val="0"/>
        <w:keepLines w:val="0"/>
        <w:pageBreakBefore w:val="0"/>
        <w:widowControl w:val="0"/>
        <w:kinsoku/>
        <w:wordWrap/>
        <w:overflowPunct/>
        <w:topLinePunct w:val="0"/>
        <w:bidi w:val="0"/>
        <w:adjustRightInd/>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A．①②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 xml:space="preserve"> B．①④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color w:val="0000FF"/>
          <w:sz w:val="24"/>
          <w:szCs w:val="24"/>
        </w:rPr>
        <w:t xml:space="preserve"> C．③④</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D．②③</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sz w:val="24"/>
          <w:szCs w:val="24"/>
          <w:lang w:val="en-US" w:eastAsia="zh-CN"/>
        </w:rPr>
      </w:pPr>
      <w:r>
        <w:rPr>
          <w:rFonts w:hint="eastAsia" w:hAnsi="宋体" w:cs="宋体"/>
          <w:b w:val="0"/>
          <w:bCs w:val="0"/>
          <w:sz w:val="24"/>
          <w:szCs w:val="24"/>
          <w:lang w:val="en-US" w:eastAsia="zh-CN"/>
        </w:rPr>
        <w:t>25.2016年8月，国家发改委等五部委印发了新版价格临时补贴联动机制，其中食品价格单月同比涨幅从10%降到6%，达到该条件即可对保障对象进行价格补贴。这一政策</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sz w:val="24"/>
          <w:szCs w:val="24"/>
          <w:lang w:eastAsia="zh-CN"/>
        </w:rPr>
      </w:pPr>
      <w:r>
        <w:rPr>
          <w:rFonts w:hint="eastAsia" w:ascii="宋体" w:hAnsi="宋体" w:eastAsia="宋体" w:cs="宋体"/>
          <w:b w:val="0"/>
          <w:bCs w:val="0"/>
          <w:sz w:val="24"/>
          <w:szCs w:val="24"/>
        </w:rPr>
        <w:t>A</w:t>
      </w:r>
      <w:r>
        <w:rPr>
          <w:rFonts w:hint="eastAsia" w:hAnsi="宋体" w:cs="宋体"/>
          <w:b w:val="0"/>
          <w:bCs w:val="0"/>
          <w:sz w:val="24"/>
          <w:szCs w:val="24"/>
          <w:lang w:eastAsia="zh-CN"/>
        </w:rPr>
        <w:t>.通过行政手段实现了对经济的调节和管理</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sz w:val="24"/>
          <w:szCs w:val="24"/>
          <w:lang w:val="en-US" w:eastAsia="zh-CN"/>
        </w:rPr>
      </w:pPr>
      <w:r>
        <w:rPr>
          <w:rFonts w:hint="eastAsia" w:hAnsi="宋体" w:cs="宋体"/>
          <w:b w:val="0"/>
          <w:bCs w:val="0"/>
          <w:sz w:val="24"/>
          <w:szCs w:val="24"/>
          <w:lang w:val="en-US" w:eastAsia="zh-CN"/>
        </w:rPr>
        <w:t>B.有利于提高劳动报酬在初次分配中的比重</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sz w:val="24"/>
          <w:szCs w:val="24"/>
          <w:lang w:val="en-US" w:eastAsia="zh-CN"/>
        </w:rPr>
      </w:pPr>
      <w:r>
        <w:rPr>
          <w:rFonts w:hint="eastAsia" w:hAnsi="宋体" w:cs="宋体"/>
          <w:b w:val="0"/>
          <w:bCs w:val="0"/>
          <w:sz w:val="24"/>
          <w:szCs w:val="24"/>
          <w:lang w:val="en-US" w:eastAsia="zh-CN"/>
        </w:rPr>
        <w:t>C.发挥了财政促进国民经济平稳</w:t>
      </w:r>
      <w:bookmarkStart w:id="0" w:name="_GoBack"/>
      <w:bookmarkEnd w:id="0"/>
      <w:r>
        <w:rPr>
          <w:rFonts w:hint="eastAsia" w:hAnsi="宋体" w:cs="宋体"/>
          <w:b w:val="0"/>
          <w:bCs w:val="0"/>
          <w:sz w:val="24"/>
          <w:szCs w:val="24"/>
          <w:lang w:val="en-US" w:eastAsia="zh-CN"/>
        </w:rPr>
        <w:t>运行的作用</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color w:val="0000FF"/>
          <w:sz w:val="24"/>
          <w:szCs w:val="24"/>
          <w:lang w:val="en-US" w:eastAsia="zh-CN"/>
        </w:rPr>
      </w:pPr>
      <w:r>
        <w:rPr>
          <w:rFonts w:hint="eastAsia" w:hAnsi="宋体" w:cs="宋体"/>
          <w:b w:val="0"/>
          <w:bCs w:val="0"/>
          <w:color w:val="0000FF"/>
          <w:sz w:val="24"/>
          <w:szCs w:val="24"/>
          <w:lang w:val="en-US" w:eastAsia="zh-CN"/>
        </w:rPr>
        <w:t>D.有利于健全我国国民收入再分配调节机制</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color w:val="000000" w:themeColor="text1"/>
          <w:sz w:val="24"/>
          <w:szCs w:val="24"/>
          <w:lang w:val="en-US" w:eastAsia="zh-CN"/>
          <w14:textFill>
            <w14:solidFill>
              <w14:schemeClr w14:val="tx1"/>
            </w14:solidFill>
          </w14:textFill>
        </w:rPr>
      </w:pPr>
      <w:r>
        <w:rPr>
          <w:rFonts w:hint="eastAsia" w:hAnsi="宋体" w:cs="宋体"/>
          <w:b w:val="0"/>
          <w:bCs w:val="0"/>
          <w:color w:val="000000" w:themeColor="text1"/>
          <w:sz w:val="24"/>
          <w:szCs w:val="24"/>
          <w:lang w:val="en-US" w:eastAsia="zh-CN"/>
          <w14:textFill>
            <w14:solidFill>
              <w14:schemeClr w14:val="tx1"/>
            </w14:solidFill>
          </w14:textFill>
        </w:rPr>
        <w:t>26.从2016年9月1日起，陕西省全面实施从学前1前到高中3年的13年免费教育。为保障这一政策实施，陕西省每年须增加投入13亿元左右。这体现了财政</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sz w:val="24"/>
          <w:szCs w:val="24"/>
          <w:lang w:val="en-US" w:eastAsia="zh-CN"/>
        </w:rPr>
      </w:pPr>
      <w:r>
        <w:rPr>
          <w:rFonts w:hint="eastAsia" w:ascii="宋体" w:hAnsi="宋体" w:eastAsia="宋体" w:cs="宋体"/>
          <w:b w:val="0"/>
          <w:bCs w:val="0"/>
          <w:color w:val="0000FF"/>
          <w:sz w:val="24"/>
          <w:szCs w:val="24"/>
        </w:rPr>
        <w:t>A</w:t>
      </w:r>
      <w:r>
        <w:rPr>
          <w:rFonts w:hint="eastAsia" w:hAnsi="宋体" w:cs="宋体"/>
          <w:b w:val="0"/>
          <w:bCs w:val="0"/>
          <w:color w:val="0000FF"/>
          <w:sz w:val="24"/>
          <w:szCs w:val="24"/>
          <w:lang w:eastAsia="zh-CN"/>
        </w:rPr>
        <w:t>.是促进社会公平的物质保障</w:t>
      </w:r>
      <w:r>
        <w:rPr>
          <w:rFonts w:hint="eastAsia" w:hAnsi="宋体" w:cs="宋体"/>
          <w:b w:val="0"/>
          <w:bCs w:val="0"/>
          <w:color w:val="0000FF"/>
          <w:sz w:val="24"/>
          <w:szCs w:val="24"/>
          <w:lang w:val="en-US" w:eastAsia="zh-CN"/>
        </w:rPr>
        <w:t xml:space="preserve">   </w:t>
      </w:r>
      <w:r>
        <w:rPr>
          <w:rFonts w:hint="eastAsia" w:hAnsi="宋体" w:cs="宋体"/>
          <w:b w:val="0"/>
          <w:bCs w:val="0"/>
          <w:sz w:val="24"/>
          <w:szCs w:val="24"/>
          <w:lang w:val="en-US" w:eastAsia="zh-CN"/>
        </w:rPr>
        <w:t>B.能够促进资源的合理配置</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hAnsi="宋体" w:cs="宋体"/>
          <w:b w:val="0"/>
          <w:bCs w:val="0"/>
          <w:color w:val="000000" w:themeColor="text1"/>
          <w:sz w:val="24"/>
          <w:szCs w:val="24"/>
          <w:lang w:val="en-US" w:eastAsia="zh-CN"/>
          <w14:textFill>
            <w14:solidFill>
              <w14:schemeClr w14:val="tx1"/>
            </w14:solidFill>
          </w14:textFill>
        </w:rPr>
      </w:pPr>
      <w:r>
        <w:rPr>
          <w:rFonts w:hint="eastAsia" w:hAnsi="宋体" w:cs="宋体"/>
          <w:b w:val="0"/>
          <w:bCs w:val="0"/>
          <w:sz w:val="24"/>
          <w:szCs w:val="24"/>
          <w:lang w:val="en-US" w:eastAsia="zh-CN"/>
        </w:rPr>
        <w:t xml:space="preserve">C.通过增加支出缩小收入差距   </w:t>
      </w:r>
      <w:r>
        <w:rPr>
          <w:rFonts w:hint="eastAsia" w:hAnsi="宋体" w:cs="宋体"/>
          <w:b w:val="0"/>
          <w:bCs w:val="0"/>
          <w:color w:val="000000" w:themeColor="text1"/>
          <w:sz w:val="24"/>
          <w:szCs w:val="24"/>
          <w:lang w:val="en-US" w:eastAsia="zh-CN"/>
          <w14:textFill>
            <w14:solidFill>
              <w14:schemeClr w14:val="tx1"/>
            </w14:solidFill>
          </w14:textFill>
        </w:rPr>
        <w:t>D.促进国民经济的平稳运行</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27</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海绵城市是指通过加强城市规划建设管理，充分发挥建筑、道路、绿地、水系等系统对雨水的吸纳和缓释作用，有效控制雨水径流，实现自然积存、自然渗透、自然净化的城市蓄水方式。重庆、南宁、济南等16个城市每年各获得国家财政补贴4亿～6亿元，用于海绵城市建设。政府采取这一举措</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①体现了国家财政具有促进资源合理配置的作用</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②反映了国家财政是国家治理的基础和重要支柱</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③说明货币政策是宏观调控中最常用的经济手段</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④坚持初次分配，更加注重促进人与自然协调发展</w:t>
      </w:r>
    </w:p>
    <w:p>
      <w:pPr>
        <w:keepNext w:val="0"/>
        <w:keepLines w:val="0"/>
        <w:pageBreakBefore w:val="0"/>
        <w:widowControl w:val="0"/>
        <w:kinsoku/>
        <w:wordWrap/>
        <w:overflowPunct/>
        <w:topLinePunct w:val="0"/>
        <w:bidi w:val="0"/>
        <w:adjustRightInd/>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FF"/>
          <w:sz w:val="24"/>
          <w:szCs w:val="24"/>
        </w:rPr>
        <w:t>A．①②</w:t>
      </w:r>
      <w:r>
        <w:rPr>
          <w:rFonts w:hint="eastAsia" w:ascii="宋体" w:hAnsi="宋体" w:eastAsia="宋体" w:cs="宋体"/>
          <w:b w:val="0"/>
          <w:bCs w:val="0"/>
          <w:sz w:val="24"/>
          <w:szCs w:val="24"/>
        </w:rPr>
        <w:t xml:space="preserve">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 xml:space="preserve">B．③④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C．①④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D．②③</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28</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2016年财政部将进一步扩大财政赤字规模，拟安排21800亿元，比2015年增加5600亿元，赤字率为3%，我国扩大财政赤字规模以促进经济发展的传导途径应是</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①消费需求增加，内需扩大</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②企业扩大生产，就业增多</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③劳动者收入增加，购买力提高</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④政府投资增加，形成新需求 </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FF"/>
          <w:sz w:val="24"/>
          <w:szCs w:val="24"/>
        </w:rPr>
        <w:t xml:space="preserve">A．④→②→③→①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rPr>
        <w:tab/>
      </w:r>
      <w:r>
        <w:rPr>
          <w:rFonts w:hint="eastAsia" w:ascii="宋体" w:hAnsi="宋体" w:eastAsia="宋体" w:cs="宋体"/>
          <w:b w:val="0"/>
          <w:bCs w:val="0"/>
          <w:sz w:val="24"/>
          <w:szCs w:val="24"/>
        </w:rPr>
        <w:t>B．③→②→①→④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C．④→①→③→②  </w:t>
      </w:r>
      <w:r>
        <w:rPr>
          <w:rFonts w:hint="eastAsia" w:ascii="宋体" w:hAnsi="宋体" w:eastAsia="宋体" w:cs="宋体"/>
          <w:b w:val="0"/>
          <w:bCs w:val="0"/>
          <w:sz w:val="24"/>
          <w:szCs w:val="24"/>
        </w:rPr>
        <w:tab/>
      </w:r>
      <w:r>
        <w:rPr>
          <w:rFonts w:hint="eastAsia" w:ascii="宋体" w:hAnsi="宋体" w:eastAsia="宋体" w:cs="宋体"/>
          <w:b w:val="0"/>
          <w:bCs w:val="0"/>
          <w:sz w:val="24"/>
          <w:szCs w:val="24"/>
        </w:rPr>
        <w:t>D．①→②→③→④</w:t>
      </w:r>
    </w:p>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480" w:firstLineChars="200"/>
        <w:jc w:val="both"/>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29</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全面实施“营改增”是推进供给侧结构性改革的一项重大举措，据下表可以推断出“营改增”将</w:t>
      </w:r>
    </w:p>
    <w:tbl>
      <w:tblPr>
        <w:tblStyle w:val="8"/>
        <w:tblW w:w="8427" w:type="dxa"/>
        <w:jc w:val="center"/>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369"/>
        <w:gridCol w:w="1302"/>
        <w:gridCol w:w="1240"/>
        <w:gridCol w:w="959"/>
        <w:gridCol w:w="1093"/>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05"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纳税人</w:t>
            </w:r>
          </w:p>
        </w:tc>
        <w:tc>
          <w:tcPr>
            <w:tcW w:w="1369"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营业额</w:t>
            </w:r>
          </w:p>
        </w:tc>
        <w:tc>
          <w:tcPr>
            <w:tcW w:w="1302"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增值额</w:t>
            </w:r>
          </w:p>
        </w:tc>
        <w:tc>
          <w:tcPr>
            <w:tcW w:w="2199" w:type="dxa"/>
            <w:gridSpan w:val="2"/>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税改之前</w:t>
            </w:r>
          </w:p>
        </w:tc>
        <w:tc>
          <w:tcPr>
            <w:tcW w:w="2052" w:type="dxa"/>
            <w:gridSpan w:val="2"/>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税改之后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505" w:type="dxa"/>
            <w:vMerge w:val="restart"/>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某信息技术</w:t>
            </w:r>
          </w:p>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服务企业</w:t>
            </w:r>
          </w:p>
        </w:tc>
        <w:tc>
          <w:tcPr>
            <w:tcW w:w="1369" w:type="dxa"/>
            <w:vMerge w:val="restart"/>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1000万</w:t>
            </w:r>
          </w:p>
        </w:tc>
        <w:tc>
          <w:tcPr>
            <w:tcW w:w="1302" w:type="dxa"/>
            <w:vMerge w:val="restart"/>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200万</w:t>
            </w:r>
          </w:p>
        </w:tc>
        <w:tc>
          <w:tcPr>
            <w:tcW w:w="1240"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税种</w:t>
            </w:r>
          </w:p>
        </w:tc>
        <w:tc>
          <w:tcPr>
            <w:tcW w:w="959"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税率</w:t>
            </w:r>
          </w:p>
        </w:tc>
        <w:tc>
          <w:tcPr>
            <w:tcW w:w="1093"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税种</w:t>
            </w:r>
          </w:p>
        </w:tc>
        <w:tc>
          <w:tcPr>
            <w:tcW w:w="959"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 w:hRule="atLeast"/>
          <w:jc w:val="center"/>
        </w:trPr>
        <w:tc>
          <w:tcPr>
            <w:tcW w:w="1505" w:type="dxa"/>
            <w:vMerge w:val="continue"/>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369" w:type="dxa"/>
            <w:vMerge w:val="continue"/>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302" w:type="dxa"/>
            <w:vMerge w:val="continue"/>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p>
        </w:tc>
        <w:tc>
          <w:tcPr>
            <w:tcW w:w="1240"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营业税</w:t>
            </w:r>
          </w:p>
        </w:tc>
        <w:tc>
          <w:tcPr>
            <w:tcW w:w="959"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1093"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增值税</w:t>
            </w:r>
          </w:p>
        </w:tc>
        <w:tc>
          <w:tcPr>
            <w:tcW w:w="959" w:type="dxa"/>
            <w:shd w:val="clear" w:color="auto" w:fill="auto"/>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r>
    </w:tbl>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①降低企业税负，增强企业的活力　②调整税收结构，推动经济转型　③化解产能过剩，加快城镇化建设　④提高纳税税率，加重企业负担</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FF"/>
          <w:sz w:val="24"/>
          <w:szCs w:val="24"/>
        </w:rPr>
        <w:t>A．①②</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B．①④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C．②③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D．③④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30</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2016年9月30日至10月7日，北京、广州、深圳、成都等城市针对当前本地房价上涨过快的现状，出台了提高二套房首付比例并实施限购的房产新政。出台房产新政的目的是</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①优化市场供求关系，促进市场供需平衡</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②防范化解金融风险，打击市场投机行为</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③抑制我国资本市场，助推实体经济发展</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④防止市场流动性，促进房地产健康发展</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FF"/>
          <w:sz w:val="24"/>
          <w:szCs w:val="24"/>
        </w:rPr>
        <w:t>A．①②</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B．②③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C．②④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D．③④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31</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新年“红包之战”引发支付平台再起硝烟。支付宝“新春红包”登陆微信后便遭全面“封锁”。随后，微信平台上，与支付宝相关的链接和请求也被屏蔽。移动支付“大战”升级，表明</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①市场调节具有自发性</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②市场调节具有滞后性</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③市场秩序依赖市场规则维护</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④加强宏观调控是发挥市场作用的前提</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A．①②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B．①③</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C．②③      D．②④</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32</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社会主义市场经济的持续、稳定、健康发展，离不开政府科学的宏观调控。宏观调控是政府的主要职责和作用之一。下列有关宏观调控的手段说法正确的</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①国家税务总局提高小微企业所得税减半征收标准——经济手段</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②国务院要求互联网运营企业“降费提速”——法律手段</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③公安机关严厉打击食品犯罪，保护舌尖上的安全——法律手段</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④央行多次“降息、降准”——财政手段</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FF"/>
          <w:sz w:val="24"/>
          <w:szCs w:val="24"/>
        </w:rPr>
        <w:t>A．①③</w:t>
      </w:r>
      <w:r>
        <w:rPr>
          <w:rFonts w:hint="eastAsia" w:ascii="宋体" w:hAnsi="宋体" w:eastAsia="宋体" w:cs="宋体"/>
          <w:b w:val="0"/>
          <w:bCs w:val="0"/>
          <w:sz w:val="24"/>
          <w:szCs w:val="24"/>
        </w:rPr>
        <w:t xml:space="preserve">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B．②④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C．①④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D．②③</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hAnsi="宋体" w:cs="宋体"/>
          <w:b w:val="0"/>
          <w:bCs w:val="0"/>
          <w:sz w:val="24"/>
          <w:szCs w:val="24"/>
          <w:lang w:val="en-US" w:eastAsia="zh-CN"/>
        </w:rPr>
        <w:t>33</w:t>
      </w:r>
      <w:r>
        <w:rPr>
          <w:rFonts w:hint="eastAsia" w:ascii="宋体" w:hAnsi="宋体" w:eastAsia="宋体" w:cs="宋体"/>
          <w:b w:val="0"/>
          <w:bCs w:val="0"/>
          <w:sz w:val="24"/>
          <w:szCs w:val="24"/>
          <w:lang w:val="en-US" w:eastAsia="zh-CN"/>
        </w:rPr>
        <w:t>.</w:t>
      </w:r>
      <w:r>
        <w:rPr>
          <w:rFonts w:hint="eastAsia" w:hAnsi="宋体" w:cs="宋体"/>
          <w:b w:val="0"/>
          <w:bCs w:val="0"/>
          <w:sz w:val="24"/>
          <w:szCs w:val="24"/>
          <w:lang w:val="en-US" w:eastAsia="zh-CN"/>
        </w:rPr>
        <w:t>国家统计局公布的国民经济运行情况显示：当前我国经济下行压力和通货紧缩压力持续，一些行业产能严重过剩。针对我国经济面临的困难，政府的应对措施有</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①</w:t>
      </w:r>
      <w:r>
        <w:rPr>
          <w:rFonts w:hint="eastAsia" w:hAnsi="宋体" w:cs="宋体"/>
          <w:b w:val="0"/>
          <w:bCs w:val="0"/>
          <w:sz w:val="24"/>
          <w:szCs w:val="24"/>
          <w:lang w:eastAsia="zh-CN"/>
        </w:rPr>
        <w:t>采取扩张性的财政政策，增加经济建设支出</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②</w:t>
      </w:r>
      <w:r>
        <w:rPr>
          <w:rFonts w:hint="eastAsia" w:hAnsi="宋体" w:cs="宋体"/>
          <w:b w:val="0"/>
          <w:bCs w:val="0"/>
          <w:sz w:val="24"/>
          <w:szCs w:val="24"/>
          <w:lang w:eastAsia="zh-CN"/>
        </w:rPr>
        <w:t>实行科学的宏观调控，帮助企业制定经营战略</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③</w:t>
      </w:r>
      <w:r>
        <w:rPr>
          <w:rFonts w:hint="eastAsia" w:hAnsi="宋体" w:cs="宋体"/>
          <w:b w:val="0"/>
          <w:bCs w:val="0"/>
          <w:sz w:val="24"/>
          <w:szCs w:val="24"/>
          <w:lang w:eastAsia="zh-CN"/>
        </w:rPr>
        <w:t>加大经济结构调整的力度，转变经济发展方式</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④</w:t>
      </w:r>
      <w:r>
        <w:rPr>
          <w:rFonts w:hint="eastAsia" w:hAnsi="宋体" w:cs="宋体"/>
          <w:b w:val="0"/>
          <w:bCs w:val="0"/>
          <w:sz w:val="24"/>
          <w:szCs w:val="24"/>
          <w:lang w:eastAsia="zh-CN"/>
        </w:rPr>
        <w:t>适度增加税收，保持政府财政收入的稳定增长</w:t>
      </w:r>
    </w:p>
    <w:p>
      <w:pPr>
        <w:pStyle w:val="2"/>
        <w:keepNext w:val="0"/>
        <w:keepLines w:val="0"/>
        <w:pageBreakBefore w:val="0"/>
        <w:widowControl w:val="0"/>
        <w:tabs>
          <w:tab w:val="left" w:pos="4620"/>
        </w:tabs>
        <w:kinsoku/>
        <w:wordWrap/>
        <w:overflowPunct/>
        <w:topLinePunct w:val="0"/>
        <w:bidi w:val="0"/>
        <w:adjustRightInd/>
        <w:snapToGrid w:val="0"/>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A．①④  </w:t>
      </w:r>
      <w:r>
        <w:rPr>
          <w:rFonts w:hint="eastAsia" w:hAnsi="宋体" w:cs="宋体"/>
          <w:b w:val="0"/>
          <w:bCs w:val="0"/>
          <w:sz w:val="24"/>
          <w:szCs w:val="24"/>
          <w:lang w:val="en-US" w:eastAsia="zh-CN"/>
        </w:rPr>
        <w:t xml:space="preserve">      </w:t>
      </w:r>
      <w:r>
        <w:rPr>
          <w:rFonts w:hint="eastAsia" w:ascii="宋体" w:hAnsi="宋体" w:eastAsia="宋体" w:cs="宋体"/>
          <w:b w:val="0"/>
          <w:bCs w:val="0"/>
          <w:color w:val="0000FF"/>
          <w:sz w:val="24"/>
          <w:szCs w:val="24"/>
        </w:rPr>
        <w:t xml:space="preserve">B．①③  </w:t>
      </w:r>
      <w:r>
        <w:rPr>
          <w:rFonts w:hint="eastAsia" w:hAnsi="宋体" w:cs="宋体"/>
          <w:b w:val="0"/>
          <w:bCs w:val="0"/>
          <w:color w:val="0000FF"/>
          <w:sz w:val="24"/>
          <w:szCs w:val="24"/>
          <w:lang w:val="en-US" w:eastAsia="zh-CN"/>
        </w:rPr>
        <w:t xml:space="preserve">    </w:t>
      </w:r>
      <w:r>
        <w:rPr>
          <w:rFonts w:hint="eastAsia" w:ascii="宋体" w:hAnsi="宋体" w:eastAsia="宋体" w:cs="宋体"/>
          <w:b w:val="0"/>
          <w:bCs w:val="0"/>
          <w:sz w:val="24"/>
          <w:szCs w:val="24"/>
        </w:rPr>
        <w:t xml:space="preserve">C．②③ </w:t>
      </w:r>
      <w:r>
        <w:rPr>
          <w:rFonts w:hint="eastAsia" w:hAnsi="宋体" w:cs="宋体"/>
          <w:b w:val="0"/>
          <w:bCs w:val="0"/>
          <w:sz w:val="24"/>
          <w:szCs w:val="24"/>
          <w:lang w:val="en-US" w:eastAsia="zh-CN"/>
        </w:rPr>
        <w:t xml:space="preserve">     </w:t>
      </w:r>
      <w:r>
        <w:rPr>
          <w:rFonts w:hint="eastAsia" w:ascii="宋体" w:hAnsi="宋体" w:eastAsia="宋体" w:cs="宋体"/>
          <w:b w:val="0"/>
          <w:bCs w:val="0"/>
          <w:sz w:val="24"/>
          <w:szCs w:val="24"/>
        </w:rPr>
        <w:t xml:space="preserve"> D．②④</w:t>
      </w:r>
    </w:p>
    <w:p>
      <w:pPr>
        <w:keepNext w:val="0"/>
        <w:keepLines w:val="0"/>
        <w:pageBreakBefore w:val="0"/>
        <w:widowControl w:val="0"/>
        <w:kinsoku/>
        <w:wordWrap/>
        <w:overflowPunct/>
        <w:topLinePunct w:val="0"/>
        <w:bidi w:val="0"/>
        <w:adjustRightInd/>
        <w:spacing w:line="240" w:lineRule="auto"/>
        <w:ind w:left="0" w:leftChars="0" w:right="0" w:rightChars="0" w:firstLine="480" w:firstLineChars="200"/>
        <w:textAlignment w:val="auto"/>
        <w:outlineLvl w:val="9"/>
        <w:rPr>
          <w:rFonts w:hint="eastAsia" w:ascii="宋体" w:hAnsi="宋体" w:eastAsia="宋体" w:cs="宋体"/>
          <w:b w:val="0"/>
          <w:bCs w:val="0"/>
          <w:sz w:val="24"/>
          <w:szCs w:val="24"/>
        </w:rPr>
      </w:pPr>
    </w:p>
    <w:p>
      <w:pPr>
        <w:pStyle w:val="10"/>
        <w:keepNext w:val="0"/>
        <w:keepLines w:val="0"/>
        <w:pageBreakBefore w:val="0"/>
        <w:widowControl/>
        <w:kinsoku/>
        <w:wordWrap/>
        <w:overflowPunct/>
        <w:topLinePunct w:val="0"/>
        <w:autoSpaceDE/>
        <w:autoSpaceDN/>
        <w:bidi w:val="0"/>
        <w:adjustRightInd/>
        <w:spacing w:line="240" w:lineRule="auto"/>
        <w:ind w:left="0" w:leftChars="0" w:right="0" w:rightChars="0" w:firstLine="482" w:firstLineChars="200"/>
        <w:jc w:val="center"/>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第Ⅱ卷（非选择题</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共54分）</w:t>
      </w:r>
    </w:p>
    <w:p>
      <w:pPr>
        <w:pStyle w:val="10"/>
        <w:keepNext w:val="0"/>
        <w:keepLines w:val="0"/>
        <w:pageBreakBefore w:val="0"/>
        <w:widowControl/>
        <w:kinsoku/>
        <w:wordWrap/>
        <w:overflowPunct/>
        <w:topLinePunct w:val="0"/>
        <w:autoSpaceDE/>
        <w:autoSpaceDN/>
        <w:bidi w:val="0"/>
        <w:adjustRightInd/>
        <w:spacing w:line="240" w:lineRule="auto"/>
        <w:ind w:left="0" w:leftChars="0" w:right="0" w:rightChars="0" w:firstLine="482" w:firstLineChars="200"/>
        <w:textAlignment w:val="auto"/>
        <w:outlineLvl w:val="9"/>
        <w:rPr>
          <w:rFonts w:hint="eastAsia" w:ascii="宋体" w:hAnsi="宋体" w:eastAsia="宋体" w:cs="宋体"/>
          <w:b/>
          <w:bCs/>
          <w:color w:val="000000"/>
          <w:sz w:val="24"/>
          <w:szCs w:val="24"/>
        </w:rPr>
      </w:pPr>
      <w:r>
        <w:rPr>
          <w:rFonts w:hint="eastAsia" w:ascii="宋体" w:hAnsi="宋体" w:eastAsia="宋体" w:cs="宋体"/>
          <w:b/>
          <w:color w:val="000000"/>
          <w:sz w:val="24"/>
          <w:szCs w:val="24"/>
        </w:rPr>
        <w:t>二、简析题：本大题共</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小题，每小题1</w:t>
      </w: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分，共计</w:t>
      </w:r>
      <w:r>
        <w:rPr>
          <w:rFonts w:hint="eastAsia" w:ascii="宋体" w:hAnsi="宋体" w:eastAsia="宋体" w:cs="宋体"/>
          <w:b/>
          <w:color w:val="000000"/>
          <w:sz w:val="24"/>
          <w:szCs w:val="24"/>
          <w:lang w:val="en-US" w:eastAsia="zh-CN"/>
        </w:rPr>
        <w:t>36</w:t>
      </w:r>
      <w:r>
        <w:rPr>
          <w:rFonts w:hint="eastAsia" w:ascii="宋体" w:hAnsi="宋体" w:eastAsia="宋体" w:cs="宋体"/>
          <w:b/>
          <w:color w:val="000000"/>
          <w:sz w:val="24"/>
          <w:szCs w:val="24"/>
        </w:rPr>
        <w:t>分。请运用所学知识对所提问题进行简明扼要的分析和说明。</w:t>
      </w:r>
    </w:p>
    <w:p>
      <w:pPr>
        <w:pStyle w:val="2"/>
        <w:keepNext w:val="0"/>
        <w:keepLines w:val="0"/>
        <w:pageBreakBefore w:val="0"/>
        <w:tabs>
          <w:tab w:val="left" w:pos="4620"/>
        </w:tabs>
        <w:kinsoku/>
        <w:wordWrap/>
        <w:overflowPunct/>
        <w:topLinePunct w:val="0"/>
        <w:autoSpaceDE/>
        <w:autoSpaceDN/>
        <w:bidi w:val="0"/>
        <w:adjustRightInd/>
        <w:snapToGrid w:val="0"/>
        <w:spacing w:line="240" w:lineRule="auto"/>
        <w:ind w:left="0" w:leftChars="0" w:right="0" w:rightChars="0" w:firstLine="480" w:firstLineChars="200"/>
        <w:textAlignment w:val="auto"/>
        <w:outlineLvl w:val="9"/>
        <w:rPr>
          <w:rFonts w:hint="eastAsia" w:hAnsi="宋体" w:cs="宋体"/>
          <w:b w:val="0"/>
          <w:bCs/>
          <w:sz w:val="24"/>
          <w:szCs w:val="24"/>
          <w:lang w:val="en-US" w:eastAsia="zh-CN"/>
        </w:rPr>
      </w:pPr>
      <w:r>
        <w:rPr>
          <w:rFonts w:hint="eastAsia" w:ascii="宋体" w:hAnsi="宋体" w:eastAsia="宋体" w:cs="宋体"/>
          <w:b w:val="0"/>
          <w:bCs/>
          <w:sz w:val="24"/>
          <w:szCs w:val="24"/>
          <w:lang w:val="en-US" w:eastAsia="zh-CN"/>
        </w:rPr>
        <w:t>34.</w:t>
      </w:r>
      <w:r>
        <w:rPr>
          <w:rFonts w:hint="eastAsia" w:hAnsi="宋体" w:cs="宋体"/>
          <w:b w:val="0"/>
          <w:bCs/>
          <w:sz w:val="24"/>
          <w:szCs w:val="24"/>
          <w:lang w:val="en-US" w:eastAsia="zh-CN"/>
        </w:rPr>
        <w:t>材料一 VR是英文Virtual Reality的简称，即虚拟现实技术，它具有多感知性、存在性、交互性与自主性的特点，当VR与硬件结合后，可带给用户极大的沉浸式的逼真体验。2015年中国虚拟现实行业市场规模为15.4亿元，2016年将达到56.6亿元，预计2020年市场规模将超过550亿元。目前国内的虚拟现实产业还处于启动期，自2015年以来，参与到虚拟现实领域的企业大幅增加。VR的内容将进一步拓宽，除了现有的游戏、影视外，还会与医疗、教育、旅游观光等更多的行业形成新的联动，VR的未来应用也会得到极大的扩展。</w:t>
      </w:r>
    </w:p>
    <w:p>
      <w:pPr>
        <w:pStyle w:val="2"/>
        <w:keepNext w:val="0"/>
        <w:keepLines w:val="0"/>
        <w:pageBreakBefore w:val="0"/>
        <w:tabs>
          <w:tab w:val="left" w:pos="4620"/>
        </w:tabs>
        <w:kinsoku/>
        <w:wordWrap/>
        <w:overflowPunct/>
        <w:topLinePunct w:val="0"/>
        <w:autoSpaceDE/>
        <w:autoSpaceDN/>
        <w:bidi w:val="0"/>
        <w:adjustRightInd/>
        <w:snapToGrid w:val="0"/>
        <w:spacing w:line="240" w:lineRule="auto"/>
        <w:ind w:left="0" w:leftChars="0" w:right="0" w:rightChars="0" w:firstLine="480" w:firstLineChars="200"/>
        <w:textAlignment w:val="auto"/>
        <w:outlineLvl w:val="9"/>
        <w:rPr>
          <w:rFonts w:hint="eastAsia" w:hAnsi="宋体" w:cs="宋体"/>
          <w:b w:val="0"/>
          <w:bCs/>
          <w:sz w:val="24"/>
          <w:szCs w:val="24"/>
          <w:lang w:val="en-US" w:eastAsia="zh-CN"/>
        </w:rPr>
      </w:pPr>
      <w:r>
        <w:rPr>
          <w:rFonts w:hint="eastAsia" w:hAnsi="宋体" w:cs="宋体"/>
          <w:b w:val="0"/>
          <w:bCs/>
          <w:sz w:val="24"/>
          <w:szCs w:val="24"/>
          <w:lang w:val="en-US" w:eastAsia="zh-CN"/>
        </w:rPr>
        <w:t>材料二 2016年中秋小长假期间，我国消费品市场供应足、需求旺，生活必需品价格无异常波动。商务部市场运行司负责人分析，中秋市场呈现几大特点。一是商品市场多姿多彩，消费结构升级明星。金银珠宝、手机、液晶电视、数码产品等成为市场宠儿，高端智能手机等数码产品受到年轻人追捧。二是文化休闲受欢迎。节日期间，各地书店、图书馆、科技馆人气旺。三是城市近郊和风景区趋热，农民得实惠。四是生活必需品供应充足，价格总体平衡。五是资源节约在中秋节有所体现。在今年的中秋礼品市场中，高档白酒、精致月饼等贵重礼品不再吸引大众眼球，有机食品、无公害食品等成为市场亮点。</w:t>
      </w:r>
    </w:p>
    <w:p>
      <w:pPr>
        <w:pStyle w:val="2"/>
        <w:keepNext w:val="0"/>
        <w:keepLines w:val="0"/>
        <w:pageBreakBefore w:val="0"/>
        <w:tabs>
          <w:tab w:val="left" w:pos="4620"/>
        </w:tabs>
        <w:kinsoku/>
        <w:wordWrap/>
        <w:overflowPunct/>
        <w:topLinePunct w:val="0"/>
        <w:autoSpaceDE/>
        <w:autoSpaceDN/>
        <w:bidi w:val="0"/>
        <w:adjustRightInd/>
        <w:snapToGrid w:val="0"/>
        <w:spacing w:line="24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结合材料，运用《经济生活》知识，回答下列问题：</w:t>
      </w:r>
    </w:p>
    <w:p>
      <w:pPr>
        <w:pStyle w:val="2"/>
        <w:keepNext w:val="0"/>
        <w:keepLines w:val="0"/>
        <w:pageBreakBefore w:val="0"/>
        <w:tabs>
          <w:tab w:val="left" w:pos="4620"/>
        </w:tabs>
        <w:kinsoku/>
        <w:wordWrap/>
        <w:overflowPunct/>
        <w:topLinePunct w:val="0"/>
        <w:autoSpaceDE/>
        <w:autoSpaceDN/>
        <w:bidi w:val="0"/>
        <w:adjustRightInd/>
        <w:snapToGrid w:val="0"/>
        <w:spacing w:line="240" w:lineRule="auto"/>
        <w:ind w:left="0" w:leftChars="0" w:right="0" w:rightChars="0" w:firstLine="480" w:firstLineChars="200"/>
        <w:textAlignment w:val="auto"/>
        <w:outlineLvl w:val="9"/>
        <w:rPr>
          <w:rFonts w:hint="eastAsia" w:hAnsi="宋体" w:cs="宋体"/>
          <w:sz w:val="24"/>
          <w:szCs w:val="24"/>
          <w:lang w:val="en-US" w:eastAsia="zh-CN"/>
        </w:rPr>
      </w:pPr>
      <w:r>
        <w:rPr>
          <w:rFonts w:hint="eastAsia" w:hAnsi="宋体" w:cs="宋体"/>
          <w:sz w:val="24"/>
          <w:szCs w:val="24"/>
          <w:lang w:eastAsia="zh-CN"/>
        </w:rPr>
        <w:t>（</w:t>
      </w:r>
      <w:r>
        <w:rPr>
          <w:rFonts w:hint="eastAsia" w:hAnsi="宋体" w:cs="宋体"/>
          <w:sz w:val="24"/>
          <w:szCs w:val="24"/>
          <w:lang w:val="en-US" w:eastAsia="zh-CN"/>
        </w:rPr>
        <w:t>1）请你根据2016年中秋市场呈现出的特点，结合材料二，谈谈我国城乡居民消费结构和消费观念的变化，并分析其对社会生产的影响。</w:t>
      </w:r>
      <w:r>
        <w:rPr>
          <w:rFonts w:hint="eastAsia" w:ascii="宋体" w:hAnsi="宋体" w:eastAsia="宋体" w:cs="宋体"/>
          <w:sz w:val="24"/>
          <w:szCs w:val="24"/>
        </w:rPr>
        <w:t>（</w:t>
      </w:r>
      <w:r>
        <w:rPr>
          <w:rFonts w:hint="eastAsia" w:hAnsi="宋体" w:cs="宋体"/>
          <w:sz w:val="24"/>
          <w:szCs w:val="24"/>
          <w:lang w:val="en-US" w:eastAsia="zh-CN"/>
        </w:rPr>
        <w:t>9</w:t>
      </w:r>
      <w:r>
        <w:rPr>
          <w:rFonts w:hint="eastAsia" w:ascii="宋体" w:hAnsi="宋体" w:eastAsia="宋体" w:cs="宋体"/>
          <w:sz w:val="24"/>
          <w:szCs w:val="24"/>
        </w:rPr>
        <w:t>分）</w:t>
      </w:r>
    </w:p>
    <w:p>
      <w:pPr>
        <w:pStyle w:val="2"/>
        <w:keepNext w:val="0"/>
        <w:keepLines w:val="0"/>
        <w:pageBreakBefore w:val="0"/>
        <w:tabs>
          <w:tab w:val="left" w:pos="4620"/>
        </w:tabs>
        <w:kinsoku/>
        <w:wordWrap/>
        <w:overflowPunct/>
        <w:topLinePunct w:val="0"/>
        <w:autoSpaceDE/>
        <w:autoSpaceDN/>
        <w:bidi w:val="0"/>
        <w:adjustRightInd/>
        <w:snapToGrid w:val="0"/>
        <w:spacing w:line="24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hAnsi="宋体" w:cs="宋体"/>
          <w:sz w:val="24"/>
          <w:szCs w:val="24"/>
          <w:lang w:val="en-US" w:eastAsia="zh-CN"/>
        </w:rPr>
        <w:t>（2）结合材料一，请你运用价格变动的影响的有关知识，阐明科技创新让企业迎来快速发展的春天的道理。</w:t>
      </w:r>
      <w:r>
        <w:rPr>
          <w:rFonts w:hint="eastAsia" w:ascii="宋体" w:hAnsi="宋体" w:eastAsia="宋体" w:cs="宋体"/>
          <w:sz w:val="24"/>
          <w:szCs w:val="24"/>
        </w:rPr>
        <w:t>（</w:t>
      </w:r>
      <w:r>
        <w:rPr>
          <w:rFonts w:hint="eastAsia" w:hAnsi="宋体" w:cs="宋体"/>
          <w:sz w:val="24"/>
          <w:szCs w:val="24"/>
          <w:lang w:val="en-US" w:eastAsia="zh-CN"/>
        </w:rPr>
        <w:t>9</w:t>
      </w:r>
      <w:r>
        <w:rPr>
          <w:rFonts w:hint="eastAsia" w:ascii="宋体" w:hAnsi="宋体" w:eastAsia="宋体" w:cs="宋体"/>
          <w:sz w:val="24"/>
          <w:szCs w:val="24"/>
        </w:rPr>
        <w:t>分）</w:t>
      </w:r>
    </w:p>
    <w:p>
      <w:pPr>
        <w:pStyle w:val="2"/>
        <w:keepNext w:val="0"/>
        <w:keepLines w:val="0"/>
        <w:pageBreakBefore w:val="0"/>
        <w:tabs>
          <w:tab w:val="left" w:pos="4620"/>
        </w:tabs>
        <w:kinsoku/>
        <w:wordWrap/>
        <w:overflowPunct/>
        <w:topLinePunct w:val="0"/>
        <w:autoSpaceDE/>
        <w:autoSpaceDN/>
        <w:bidi w:val="0"/>
        <w:adjustRightInd/>
        <w:snapToGrid w:val="0"/>
        <w:spacing w:line="240" w:lineRule="auto"/>
        <w:ind w:left="0" w:leftChars="0" w:right="0" w:rightChars="0" w:firstLine="480" w:firstLineChars="200"/>
        <w:textAlignment w:val="auto"/>
        <w:outlineLvl w:val="9"/>
        <w:rPr>
          <w:rFonts w:hint="eastAsia" w:hAnsi="宋体" w:cs="宋体"/>
          <w:b w:val="0"/>
          <w:bCs w:val="0"/>
          <w:color w:val="0000FF"/>
          <w:sz w:val="24"/>
          <w:szCs w:val="24"/>
          <w:lang w:eastAsia="zh-CN"/>
        </w:rPr>
      </w:pPr>
      <w:r>
        <w:rPr>
          <w:rFonts w:hint="eastAsia" w:hAnsi="宋体" w:cs="宋体"/>
          <w:color w:val="0000FF"/>
          <w:sz w:val="24"/>
          <w:szCs w:val="24"/>
          <w:lang w:val="en-US" w:eastAsia="zh-CN"/>
        </w:rPr>
        <w:t>34.（1）</w:t>
      </w:r>
      <w:r>
        <w:rPr>
          <w:rFonts w:hint="eastAsia" w:ascii="宋体" w:hAnsi="宋体" w:eastAsia="宋体" w:cs="宋体"/>
          <w:b w:val="0"/>
          <w:bCs w:val="0"/>
          <w:color w:val="0000FF"/>
          <w:sz w:val="24"/>
          <w:szCs w:val="24"/>
        </w:rPr>
        <w:t>①</w:t>
      </w:r>
      <w:r>
        <w:rPr>
          <w:rFonts w:hint="eastAsia" w:hAnsi="宋体" w:cs="宋体"/>
          <w:b w:val="0"/>
          <w:bCs w:val="0"/>
          <w:color w:val="0000FF"/>
          <w:sz w:val="24"/>
          <w:szCs w:val="24"/>
          <w:lang w:eastAsia="zh-CN"/>
        </w:rPr>
        <w:t>随着经济的发展和居民收入的提高，我国居民发展资料和享受资料的消费增加，生活水平提高，消费结构改善。</w:t>
      </w:r>
      <w:r>
        <w:rPr>
          <w:rFonts w:hint="eastAsia" w:ascii="宋体" w:hAnsi="宋体" w:eastAsia="宋体" w:cs="宋体"/>
          <w:b w:val="0"/>
          <w:bCs w:val="0"/>
          <w:color w:val="0000FF"/>
          <w:sz w:val="24"/>
          <w:szCs w:val="24"/>
        </w:rPr>
        <w:t>②</w:t>
      </w:r>
      <w:r>
        <w:rPr>
          <w:rFonts w:hint="eastAsia" w:hAnsi="宋体" w:cs="宋体"/>
          <w:b w:val="0"/>
          <w:bCs w:val="0"/>
          <w:color w:val="0000FF"/>
          <w:sz w:val="24"/>
          <w:szCs w:val="24"/>
          <w:lang w:eastAsia="zh-CN"/>
        </w:rPr>
        <w:t>从</w:t>
      </w:r>
      <w:r>
        <w:rPr>
          <w:rFonts w:hint="eastAsia" w:hAnsi="宋体" w:cs="宋体"/>
          <w:b w:val="0"/>
          <w:bCs w:val="0"/>
          <w:color w:val="0000FF"/>
          <w:sz w:val="24"/>
          <w:szCs w:val="24"/>
          <w:lang w:val="en-US" w:eastAsia="zh-CN"/>
        </w:rPr>
        <w:t>2016年的市场特点可以看出，居民比较注重适度消费，避免盲从，消费更为理性；避免只重物质消费忽视精神消费的倾向，重视精神文化消费；重视绿色消费，抑制奢侈消费等浪费资源的行为。</w:t>
      </w:r>
      <w:r>
        <w:rPr>
          <w:rFonts w:hint="eastAsia" w:ascii="宋体" w:hAnsi="宋体" w:eastAsia="宋体" w:cs="宋体"/>
          <w:b w:val="0"/>
          <w:bCs w:val="0"/>
          <w:color w:val="0000FF"/>
          <w:sz w:val="24"/>
          <w:szCs w:val="24"/>
        </w:rPr>
        <w:t>③</w:t>
      </w:r>
      <w:r>
        <w:rPr>
          <w:rFonts w:hint="eastAsia" w:hAnsi="宋体" w:cs="宋体"/>
          <w:b w:val="0"/>
          <w:bCs w:val="0"/>
          <w:color w:val="0000FF"/>
          <w:sz w:val="24"/>
          <w:szCs w:val="24"/>
          <w:lang w:eastAsia="zh-CN"/>
        </w:rPr>
        <w:t>生产决定消费，消费对生产具有反作用。消费是生产的目的和动力，消费调节着生产。我国城乡居民消费水平的提高和消费结构的变化，有利于促进社会生产的发展和经济结构的调整。</w:t>
      </w:r>
    </w:p>
    <w:p>
      <w:pPr>
        <w:pStyle w:val="2"/>
        <w:keepNext w:val="0"/>
        <w:keepLines w:val="0"/>
        <w:pageBreakBefore w:val="0"/>
        <w:tabs>
          <w:tab w:val="left" w:pos="4620"/>
        </w:tabs>
        <w:kinsoku/>
        <w:wordWrap/>
        <w:overflowPunct/>
        <w:topLinePunct w:val="0"/>
        <w:autoSpaceDE/>
        <w:autoSpaceDN/>
        <w:bidi w:val="0"/>
        <w:adjustRightInd/>
        <w:snapToGrid w:val="0"/>
        <w:spacing w:line="240" w:lineRule="auto"/>
        <w:ind w:left="0" w:leftChars="0" w:right="0" w:rightChars="0" w:firstLine="480" w:firstLineChars="200"/>
        <w:textAlignment w:val="auto"/>
        <w:outlineLvl w:val="9"/>
        <w:rPr>
          <w:rFonts w:hint="eastAsia" w:hAnsi="宋体" w:cs="宋体"/>
          <w:b w:val="0"/>
          <w:bCs w:val="0"/>
          <w:color w:val="0000FF"/>
          <w:sz w:val="24"/>
          <w:szCs w:val="24"/>
          <w:lang w:val="en-US" w:eastAsia="zh-CN"/>
        </w:rPr>
      </w:pPr>
      <w:r>
        <w:rPr>
          <w:rFonts w:hint="eastAsia" w:hAnsi="宋体" w:cs="宋体"/>
          <w:b w:val="0"/>
          <w:bCs w:val="0"/>
          <w:color w:val="0000FF"/>
          <w:sz w:val="24"/>
          <w:szCs w:val="24"/>
          <w:lang w:eastAsia="zh-CN"/>
        </w:rPr>
        <w:t>（</w:t>
      </w:r>
      <w:r>
        <w:rPr>
          <w:rFonts w:hint="eastAsia" w:hAnsi="宋体" w:cs="宋体"/>
          <w:b w:val="0"/>
          <w:bCs w:val="0"/>
          <w:color w:val="0000FF"/>
          <w:sz w:val="24"/>
          <w:szCs w:val="24"/>
          <w:lang w:val="en-US" w:eastAsia="zh-CN"/>
        </w:rPr>
        <w:t>2）</w:t>
      </w:r>
      <w:r>
        <w:rPr>
          <w:rFonts w:hint="eastAsia" w:ascii="宋体" w:hAnsi="宋体" w:eastAsia="宋体" w:cs="宋体"/>
          <w:b w:val="0"/>
          <w:bCs w:val="0"/>
          <w:color w:val="0000FF"/>
          <w:sz w:val="24"/>
          <w:szCs w:val="24"/>
        </w:rPr>
        <w:t>①</w:t>
      </w:r>
      <w:r>
        <w:rPr>
          <w:rFonts w:hint="eastAsia" w:hAnsi="宋体" w:cs="宋体"/>
          <w:b w:val="0"/>
          <w:bCs w:val="0"/>
          <w:color w:val="0000FF"/>
          <w:sz w:val="24"/>
          <w:szCs w:val="24"/>
          <w:lang w:eastAsia="zh-CN"/>
        </w:rPr>
        <w:t>科技创新能提高社会劳动生产率，降低单位商品价值量和商品价格，使消费者购买到更多物美价廉的商品。</w:t>
      </w:r>
      <w:r>
        <w:rPr>
          <w:rFonts w:hint="eastAsia" w:ascii="宋体" w:hAnsi="宋体" w:eastAsia="宋体" w:cs="宋体"/>
          <w:b w:val="0"/>
          <w:bCs w:val="0"/>
          <w:color w:val="0000FF"/>
          <w:sz w:val="24"/>
          <w:szCs w:val="24"/>
        </w:rPr>
        <w:t>②</w:t>
      </w:r>
      <w:r>
        <w:rPr>
          <w:rFonts w:hint="eastAsia" w:hAnsi="宋体" w:cs="宋体"/>
          <w:b w:val="0"/>
          <w:bCs w:val="0"/>
          <w:color w:val="0000FF"/>
          <w:sz w:val="24"/>
          <w:szCs w:val="24"/>
          <w:lang w:eastAsia="zh-CN"/>
        </w:rPr>
        <w:t>科技创新能促使企业调节生产规模，在供不应求时扩大规模，满足消费者需求。</w:t>
      </w:r>
      <w:r>
        <w:rPr>
          <w:rFonts w:hint="eastAsia" w:ascii="宋体" w:hAnsi="宋体" w:eastAsia="宋体" w:cs="宋体"/>
          <w:b w:val="0"/>
          <w:bCs w:val="0"/>
          <w:color w:val="0000FF"/>
          <w:sz w:val="24"/>
          <w:szCs w:val="24"/>
        </w:rPr>
        <w:t>③</w:t>
      </w:r>
      <w:r>
        <w:rPr>
          <w:rFonts w:hint="eastAsia" w:hAnsi="宋体" w:cs="宋体"/>
          <w:b w:val="0"/>
          <w:bCs w:val="0"/>
          <w:color w:val="0000FF"/>
          <w:sz w:val="24"/>
          <w:szCs w:val="24"/>
          <w:lang w:eastAsia="zh-CN"/>
        </w:rPr>
        <w:t>科技创新能促使企业生产适销对路的高质量产品，开发新产品，从而满足消费者的需求。</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r>
        <w:rPr>
          <w:rFonts w:hint="eastAsia" w:ascii="宋体" w:hAnsi="宋体" w:eastAsia="宋体" w:cs="宋体"/>
          <w:sz w:val="24"/>
          <w:szCs w:val="24"/>
        </w:rPr>
        <w:t>阅读材料，回答问题。</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材料一</w:t>
      </w:r>
      <w:r>
        <w:rPr>
          <w:rFonts w:hint="eastAsia" w:ascii="宋体" w:hAnsi="宋体" w:cs="宋体"/>
          <w:sz w:val="24"/>
          <w:szCs w:val="24"/>
          <w:lang w:val="en-US" w:eastAsia="zh-CN"/>
        </w:rPr>
        <w:t xml:space="preserve"> </w:t>
      </w:r>
      <w:r>
        <w:rPr>
          <w:rFonts w:hint="eastAsia" w:ascii="宋体" w:hAnsi="宋体" w:eastAsia="宋体" w:cs="宋体"/>
          <w:sz w:val="24"/>
          <w:szCs w:val="24"/>
        </w:rPr>
        <w:t>税收政策会对市场参与者的行为和利益产生重要影响。假设某制造企业的某一产品当前销售单价为9.8万元（其中包含企业每销售一件产品应缴纳的税额1.8万元），年销售量10万件。现对该企业销售产品实行免税措施，免税后单价为9.2万元，年销售量为13万件。</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材料二</w:t>
      </w:r>
      <w:r>
        <w:rPr>
          <w:rFonts w:hint="eastAsia" w:ascii="宋体" w:hAnsi="宋体" w:cs="宋体"/>
          <w:sz w:val="24"/>
          <w:szCs w:val="24"/>
          <w:lang w:val="en-US" w:eastAsia="zh-CN"/>
        </w:rPr>
        <w:t xml:space="preserve"> </w:t>
      </w:r>
      <w:r>
        <w:rPr>
          <w:rFonts w:hint="eastAsia" w:ascii="宋体" w:hAnsi="宋体" w:eastAsia="宋体" w:cs="宋体"/>
          <w:sz w:val="24"/>
          <w:szCs w:val="24"/>
        </w:rPr>
        <w:t>智能制造是新一轮工业革命的核心。为主动应对世界新技术革命挑战，全球工业大国都在全力抢占智能制造的制高点，构筑全球新战略。经济新常态下，我国企业税负过重等老问题依然突出，弱化了企业创新意愿和创新能力，减税已成为当前推动中国制造向中国智造转型升级的迫切要求和重要选择。</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结合材料，运用《经济生活》知识，回答下列问题：</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（1）计算销售单件产品后买卖双方从免税中分别获得的收益，并据此指出其收益变化情况。（</w:t>
      </w:r>
      <w:r>
        <w:rPr>
          <w:rFonts w:hint="eastAsia" w:ascii="宋体" w:hAnsi="宋体" w:cs="宋体"/>
          <w:sz w:val="24"/>
          <w:szCs w:val="24"/>
          <w:lang w:val="en-US" w:eastAsia="zh-CN"/>
        </w:rPr>
        <w:t>6</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（2）说明减税可以助推中国制造向中国智造转型升级的理由。（</w:t>
      </w:r>
      <w:r>
        <w:rPr>
          <w:rFonts w:hint="eastAsia" w:ascii="宋体" w:hAnsi="宋体" w:cs="宋体"/>
          <w:sz w:val="24"/>
          <w:szCs w:val="24"/>
          <w:lang w:val="en-US" w:eastAsia="zh-CN"/>
        </w:rPr>
        <w:t>12</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lang w:val="en-US" w:eastAsia="zh-CN"/>
        </w:rPr>
        <w:t>35.</w:t>
      </w:r>
      <w:r>
        <w:rPr>
          <w:rFonts w:hint="eastAsia" w:ascii="宋体" w:hAnsi="宋体" w:eastAsia="宋体" w:cs="宋体"/>
          <w:color w:val="0000FF"/>
          <w:sz w:val="24"/>
          <w:szCs w:val="24"/>
        </w:rPr>
        <w:t>（1）买方收益：9.8-9.2=0.6万元；卖方收益：1.8-0.6=1.2万元。</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80" w:firstLineChars="200"/>
        <w:jc w:val="both"/>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减税使买卖双方收益均增加；卖方增加的收益大于买方增加的收益，企业获益更大。</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80" w:firstLineChars="200"/>
        <w:jc w:val="both"/>
        <w:textAlignment w:val="auto"/>
        <w:rPr>
          <w:rFonts w:hint="eastAsia"/>
          <w:color w:val="0000FF"/>
        </w:rPr>
      </w:pPr>
      <w:r>
        <w:rPr>
          <w:rFonts w:hint="eastAsia" w:ascii="宋体" w:hAnsi="宋体" w:eastAsia="宋体" w:cs="宋体"/>
          <w:color w:val="0000FF"/>
          <w:sz w:val="24"/>
          <w:szCs w:val="24"/>
        </w:rPr>
        <w:t>（2）增加了企业利润，有利于促进企业技术进步。增加了居民实际收入，有利于刺激消费以带动智能制造业健康成长。发挥了税收和价格在资源配置中的作用，有利于引导资本向智能制造业转移。能促进制造业结构优化升级，有利于提升我国智能制造业的国际竞争力。</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三、探究题：请你进入下列情境中，参与问题的探究与分析，并将你的观点与建议写在答题卡上（本部分1题，18分）</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 2017年5月14日至15日，第一届“一带一路”国际合作高峰论坛在北京举行。</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一带一路”倡议由中国提出，已有100多个国家和国际组织积极响应支持，40多个国家和国际组织同中国签署了合作协议，中国始终坚持“共商、共建、共享”理念，大家一起商量、一起做事，—起受益。其中优化经济发展空间格局，促进各地区协调发展是“一带一路”战略的使命所在。</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长期以来，区域发展不均衡是困扰我国经济社会发展的一大难题。“一带一路”战略的推出有益于打破固有的地区封锁和利益藩篱，将全方位的对外开放提到崭新高度。这就是要通过经济纽带将各个区域联系在一起，通过市场的力量促进区域之间、国内外之间的互联互通。其中既包括交通运输、基础设施、能源等硬件联通项目，也包括通信、海关、检验检疫等软件联通项目，对沿线国家经济发展、人民生活产生了积极影响。</w:t>
      </w:r>
    </w:p>
    <w:p>
      <w:pPr>
        <w:pStyle w:val="10"/>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center"/>
        <w:outlineLvl w:val="9"/>
        <w:rPr>
          <w:rFonts w:hint="eastAsia" w:ascii="宋体" w:hAnsi="宋体" w:eastAsia="宋体" w:cs="宋体"/>
          <w:sz w:val="24"/>
          <w:szCs w:val="24"/>
        </w:rPr>
      </w:pPr>
      <w:r>
        <w:rPr>
          <w:rFonts w:hint="eastAsia" w:ascii="宋体" w:hAnsi="宋体" w:eastAsia="宋体" w:cs="宋体"/>
          <w:sz w:val="24"/>
          <w:szCs w:val="24"/>
        </w:rPr>
        <w:t>我国是全球第二大经济体，但有全球影响力的品牌却寥寥无几。品牌发展严重滞后，成为经济发展的短板。目前，不少行业产能过剩，高品质消费品却供给不足。品牌是连接需求与供给的桥梁和中介，推进品牌建设，能促进经济向“高精尖”转型，可以说，品牌是供给侧改革的重要抓手。</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阅读材料，结合所学经济知识，回答下列问题：</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（1）分析区域、国内外之间的互联互通为什么可以通过市场的力量实现？（6分）</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（2）西方有一种声音认为，“一带一路”倡议并非“共赢”，而是中国在“掌控”，是中国输出过剩产能的手段。请结合实际，运用经济生活的知识评析该观点。（6分）</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（3）分析品牌建设对于我国推进供给侧改革的经济意义。（6分）</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color w:val="0000FF"/>
          <w:sz w:val="24"/>
          <w:szCs w:val="24"/>
        </w:rPr>
      </w:pPr>
      <w:r>
        <w:rPr>
          <w:rFonts w:hint="eastAsia" w:ascii="宋体" w:hAnsi="宋体" w:eastAsia="宋体" w:cs="宋体"/>
          <w:color w:val="0000FF"/>
          <w:sz w:val="24"/>
          <w:szCs w:val="24"/>
          <w:lang w:val="en-US" w:eastAsia="zh-CN"/>
        </w:rPr>
        <w:t>36.</w:t>
      </w:r>
      <w:r>
        <w:rPr>
          <w:rFonts w:hint="eastAsia" w:ascii="宋体" w:hAnsi="宋体" w:eastAsia="宋体" w:cs="宋体"/>
          <w:color w:val="0000FF"/>
          <w:sz w:val="24"/>
          <w:szCs w:val="24"/>
        </w:rPr>
        <w:t>（1）①市场在资源配置中起决定性作用（或表达为市场决定资源配置是市场经济的一般规律）；（2分）</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color w:val="0000FF"/>
          <w:sz w:val="24"/>
          <w:szCs w:val="24"/>
        </w:rPr>
      </w:pPr>
      <w:r>
        <w:rPr>
          <w:rFonts w:hint="eastAsia" w:ascii="宋体" w:hAnsi="宋体" w:eastAsia="宋体" w:cs="宋体"/>
          <w:color w:val="0000FF"/>
          <w:sz w:val="24"/>
          <w:szCs w:val="24"/>
        </w:rPr>
        <w:t>②市场可以通过价格的变动及时传递供求信息，调整人们的经济行为，引导生产要素在区域和国际间的有序流动，实现互联互通；（2分）</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color w:val="0000FF"/>
          <w:sz w:val="24"/>
          <w:szCs w:val="24"/>
        </w:rPr>
      </w:pPr>
      <w:r>
        <w:rPr>
          <w:rFonts w:hint="eastAsia" w:ascii="宋体" w:hAnsi="宋体" w:eastAsia="宋体" w:cs="宋体"/>
          <w:color w:val="0000FF"/>
          <w:sz w:val="24"/>
          <w:szCs w:val="24"/>
        </w:rPr>
        <w:t>③统一开放的市场体系打破了地区封锁和利益藩篱，通过充分的竞争降低生产要素的流通成本，提高流通效率，优化经济发展空间格局，促进区域和国内外的联通和协调发展。（2分）</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color w:val="0000FF"/>
          <w:sz w:val="24"/>
          <w:szCs w:val="24"/>
        </w:rPr>
      </w:pPr>
      <w:r>
        <w:rPr>
          <w:rFonts w:hint="eastAsia" w:ascii="宋体" w:hAnsi="宋体" w:eastAsia="宋体" w:cs="宋体"/>
          <w:color w:val="0000FF"/>
          <w:sz w:val="24"/>
          <w:szCs w:val="24"/>
        </w:rPr>
        <w:t>（2）①“一带一路”倡议对中国有利：扩大产品市场化，促进优势产能“走出去”，提高在国际分工中的地位。②对沿线国家也有利：扩大产品供给，增加税收，扩大就业，提高居民收入，提高相关产业的技术水平。③“一带一路”建设始终坚持“共商、共建、共享”理念，中国的供给侧改革已经取得积极成效，能够走出去的总是具有比较优势的产能。题中观点片面。（每点2分）</w:t>
      </w:r>
    </w:p>
    <w:p>
      <w:pPr>
        <w:pStyle w:val="10"/>
        <w:keepNext w:val="0"/>
        <w:keepLines w:val="0"/>
        <w:pageBreakBefore w:val="0"/>
        <w:kinsoku/>
        <w:wordWrap/>
        <w:overflowPunct/>
        <w:topLinePunct w:val="0"/>
        <w:autoSpaceDE/>
        <w:autoSpaceDN/>
        <w:bidi w:val="0"/>
        <w:adjustRightInd/>
        <w:snapToGrid/>
        <w:spacing w:line="240" w:lineRule="auto"/>
        <w:ind w:left="0" w:leftChars="0" w:right="0" w:rightChars="0" w:firstLine="480" w:firstLineChars="200"/>
        <w:outlineLvl w:val="9"/>
        <w:rPr>
          <w:rFonts w:hint="eastAsia" w:ascii="宋体" w:hAnsi="宋体" w:eastAsia="宋体" w:cs="宋体"/>
          <w:color w:val="0000FF"/>
          <w:sz w:val="24"/>
          <w:szCs w:val="24"/>
        </w:rPr>
      </w:pPr>
      <w:r>
        <w:rPr>
          <w:rFonts w:hint="eastAsia" w:ascii="宋体" w:hAnsi="宋体" w:eastAsia="宋体" w:cs="宋体"/>
          <w:color w:val="0000FF"/>
          <w:sz w:val="24"/>
          <w:szCs w:val="24"/>
        </w:rPr>
        <w:t>（3）①有利于提高产品和服务的质量，实现消费升级，创造新的经济增长点。②有利于提高供给品质，调整产品结构，促进企业创新，增强企业竞争力。③有利于扩大有效供给和中高端供给，推动产业结构升级，促进资源的合理配置，提高经济增长的质量和效益，转变经济发展方式。（每点2分）</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480" w:firstLineChars="200"/>
        <w:textAlignment w:val="auto"/>
        <w:rPr>
          <w:rFonts w:hint="eastAsia" w:ascii="宋体" w:hAnsi="宋体" w:cs="宋体"/>
          <w:b w:val="0"/>
          <w:bCs w:val="0"/>
          <w:color w:val="0000FF"/>
          <w:sz w:val="24"/>
          <w:szCs w:val="24"/>
          <w:lang w:val="en-US" w:eastAsia="zh-CN"/>
        </w:rPr>
      </w:pPr>
    </w:p>
    <w:p>
      <w:pPr>
        <w:pStyle w:val="2"/>
        <w:keepNext w:val="0"/>
        <w:keepLines w:val="0"/>
        <w:pageBreakBefore w:val="0"/>
        <w:tabs>
          <w:tab w:val="left" w:pos="4620"/>
        </w:tabs>
        <w:kinsoku/>
        <w:wordWrap/>
        <w:overflowPunct/>
        <w:topLinePunct w:val="0"/>
        <w:autoSpaceDE/>
        <w:autoSpaceDN/>
        <w:bidi w:val="0"/>
        <w:adjustRightInd/>
        <w:snapToGrid w:val="0"/>
        <w:spacing w:line="240" w:lineRule="auto"/>
        <w:ind w:left="0" w:leftChars="0" w:right="0" w:rightChars="0" w:firstLine="482" w:firstLineChars="200"/>
        <w:textAlignment w:val="auto"/>
        <w:outlineLvl w:val="9"/>
        <w:rPr>
          <w:rFonts w:hint="eastAsia" w:ascii="宋体" w:hAnsi="宋体" w:eastAsia="宋体" w:cs="宋体"/>
          <w:b/>
          <w:sz w:val="24"/>
          <w:szCs w:val="24"/>
        </w:rPr>
      </w:pPr>
    </w:p>
    <w:p>
      <w:pPr>
        <w:keepNext w:val="0"/>
        <w:keepLines w:val="0"/>
        <w:pageBreakBefore w:val="0"/>
        <w:kinsoku/>
        <w:wordWrap/>
        <w:overflowPunct/>
        <w:topLinePunct w:val="0"/>
        <w:autoSpaceDE/>
        <w:autoSpaceDN/>
        <w:bidi w:val="0"/>
        <w:adjustRightInd/>
        <w:spacing w:line="240" w:lineRule="auto"/>
        <w:ind w:left="0" w:leftChars="0" w:right="0" w:rightChars="0" w:firstLine="420" w:firstLineChars="200"/>
        <w:textAlignment w:val="auto"/>
        <w:outlineLvl w:val="9"/>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pacing w:line="240" w:lineRule="auto"/>
        <w:ind w:left="0" w:leftChars="0" w:right="0" w:rightChars="0" w:firstLine="420" w:firstLineChars="200"/>
        <w:textAlignment w:val="auto"/>
        <w:outlineLvl w:val="9"/>
        <w:rPr>
          <w:rFonts w:hint="eastAsia" w:ascii="宋体" w:hAnsi="宋体" w:eastAsia="宋体" w:cs="宋体"/>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方正华隶简体">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新宋体">
    <w:panose1 w:val="02010609030101010101"/>
    <w:charset w:val="86"/>
    <w:family w:val="roman"/>
    <w:pitch w:val="default"/>
    <w:sig w:usb0="00000003" w:usb1="288F0000" w:usb2="0000000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Arial">
    <w:panose1 w:val="020B0604020202020204"/>
    <w:charset w:val="00"/>
    <w:family w:val="modern"/>
    <w:pitch w:val="default"/>
    <w:sig w:usb0="E0002A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n-cs">
    <w:altName w:val="Courier New"/>
    <w:panose1 w:val="00000000000000000000"/>
    <w:charset w:val="00"/>
    <w:family w:val="auto"/>
    <w:pitch w:val="default"/>
    <w:sig w:usb0="00000000" w:usb1="00000000" w:usb2="00000000" w:usb3="00000000" w:csb0="00000000" w:csb1="00000000"/>
  </w:font>
  <w:font w:name="mn-ea">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IPAPANNEW">
    <w:altName w:val="PMingLiU-ExtB"/>
    <w:panose1 w:val="02000500070000020004"/>
    <w:charset w:val="00"/>
    <w:family w:val="auto"/>
    <w:pitch w:val="default"/>
    <w:sig w:usb0="00000000" w:usb1="00000000" w:usb2="00000021" w:usb3="00000000" w:csb0="00000197" w:csb1="00000000"/>
  </w:font>
  <w:font w:name="PMingLiU-ExtB">
    <w:panose1 w:val="02020500000000000000"/>
    <w:charset w:val="88"/>
    <w:family w:val="auto"/>
    <w:pitch w:val="default"/>
    <w:sig w:usb0="8000002F" w:usb1="02000008" w:usb2="00000000" w:usb3="00000000" w:csb0="00100001" w:csb1="00000000"/>
  </w:font>
  <w:font w:name="Bell MT">
    <w:altName w:val="PMingLiU-ExtB"/>
    <w:panose1 w:val="02020503060305020303"/>
    <w:charset w:val="00"/>
    <w:family w:val="auto"/>
    <w:pitch w:val="default"/>
    <w:sig w:usb0="00000000" w:usb1="00000000" w:usb2="00000000" w:usb3="00000000" w:csb0="20000001" w:csb1="00000000"/>
  </w:font>
  <w:font w:name="PMingLiU">
    <w:panose1 w:val="02020500000000000000"/>
    <w:charset w:val="88"/>
    <w:family w:val="auto"/>
    <w:pitch w:val="default"/>
    <w:sig w:usb0="A00002FF" w:usb1="28CFFCFA"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ingLiU_HKSCS">
    <w:panose1 w:val="02020500000000000000"/>
    <w:charset w:val="88"/>
    <w:family w:val="roman"/>
    <w:pitch w:val="default"/>
    <w:sig w:usb0="A00002FF" w:usb1="38CFFCFA" w:usb2="00000016" w:usb3="00000000" w:csb0="00100001" w:csb1="00000000"/>
  </w:font>
  <w:font w:name="+mn-cs">
    <w:altName w:val="Courier New"/>
    <w:panose1 w:val="00000000000000000000"/>
    <w:charset w:val="00"/>
    <w:family w:val="roman"/>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方正书宋简体">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altName w:val="微软雅黑"/>
    <w:panose1 w:val="03000509000000000000"/>
    <w:charset w:val="86"/>
    <w:family w:val="script"/>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lang w:eastAsia="zh-CN"/>
      </w:rPr>
      <w:t>高三年级</w:t>
    </w:r>
    <w:r>
      <w:rPr>
        <w:rFonts w:hint="eastAsia"/>
        <w:lang w:val="en-US" w:eastAsia="zh-CN"/>
      </w:rPr>
      <w:t xml:space="preserve"> 政治</w:t>
    </w:r>
    <w:r>
      <w:rPr>
        <w:rFonts w:hint="eastAsia"/>
        <w:lang w:eastAsia="zh-CN"/>
      </w:rPr>
      <w:t>学科</w:t>
    </w:r>
    <w:r>
      <w:rPr>
        <w:rFonts w:hint="eastAsia" w:ascii="Arial" w:hAnsi="Arial" w:cs="Arial"/>
        <w:lang w:val="en-US" w:eastAsia="zh-CN"/>
      </w:rPr>
      <w:t xml:space="preserve"> </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5FFE5"/>
    <w:multiLevelType w:val="singleLevel"/>
    <w:tmpl w:val="5445FFE5"/>
    <w:lvl w:ilvl="0" w:tentative="0">
      <w:start w:val="1"/>
      <w:numFmt w:val="chineseCounting"/>
      <w:suff w:val="nothing"/>
      <w:lvlText w:val="%1、"/>
      <w:lvlJc w:val="left"/>
    </w:lvl>
  </w:abstractNum>
  <w:abstractNum w:abstractNumId="1">
    <w:nsid w:val="59C760AA"/>
    <w:multiLevelType w:val="singleLevel"/>
    <w:tmpl w:val="59C760AA"/>
    <w:lvl w:ilvl="0" w:tentative="0">
      <w:start w:val="1"/>
      <w:numFmt w:val="upperLetter"/>
      <w:suff w:val="nothing"/>
      <w:lvlText w:val="%1．"/>
      <w:lvlJc w:val="left"/>
    </w:lvl>
  </w:abstractNum>
  <w:abstractNum w:abstractNumId="2">
    <w:nsid w:val="59C7663C"/>
    <w:multiLevelType w:val="singleLevel"/>
    <w:tmpl w:val="59C7663C"/>
    <w:lvl w:ilvl="0" w:tentative="0">
      <w:start w:val="1"/>
      <w:numFmt w:val="upperLetter"/>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143E7"/>
    <w:rsid w:val="03AC7AA0"/>
    <w:rsid w:val="03CE2915"/>
    <w:rsid w:val="058545FA"/>
    <w:rsid w:val="0741360B"/>
    <w:rsid w:val="07AB6570"/>
    <w:rsid w:val="0E1B041E"/>
    <w:rsid w:val="15811972"/>
    <w:rsid w:val="1C9B1D14"/>
    <w:rsid w:val="1DB875AB"/>
    <w:rsid w:val="1FD92AAD"/>
    <w:rsid w:val="23377D9E"/>
    <w:rsid w:val="24352604"/>
    <w:rsid w:val="253B7933"/>
    <w:rsid w:val="254A2FD2"/>
    <w:rsid w:val="28A75B5D"/>
    <w:rsid w:val="2B5F558A"/>
    <w:rsid w:val="2E7F35A9"/>
    <w:rsid w:val="2EAA678C"/>
    <w:rsid w:val="303201B0"/>
    <w:rsid w:val="347C1A09"/>
    <w:rsid w:val="39C35817"/>
    <w:rsid w:val="3A354554"/>
    <w:rsid w:val="3E6B7928"/>
    <w:rsid w:val="3F417567"/>
    <w:rsid w:val="3FF143E7"/>
    <w:rsid w:val="400F2943"/>
    <w:rsid w:val="4BEA3CD9"/>
    <w:rsid w:val="4CA140E0"/>
    <w:rsid w:val="4D364EAA"/>
    <w:rsid w:val="4F2946F8"/>
    <w:rsid w:val="515E7C57"/>
    <w:rsid w:val="56423F4F"/>
    <w:rsid w:val="5FB23D51"/>
    <w:rsid w:val="685D3356"/>
    <w:rsid w:val="68854418"/>
    <w:rsid w:val="695A4BFF"/>
    <w:rsid w:val="6D8749FC"/>
    <w:rsid w:val="7AEB19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qFormat/>
    <w:uiPriority w:val="0"/>
    <w:rPr>
      <w:color w:val="663399"/>
      <w:u w:val="single"/>
    </w:rPr>
  </w:style>
  <w:style w:type="character" w:styleId="7">
    <w:name w:val="Hyperlink"/>
    <w:basedOn w:val="5"/>
    <w:qFormat/>
    <w:uiPriority w:val="0"/>
    <w:rPr>
      <w:color w:val="3333CC"/>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2017-09-24T06:55:00Z</dcterms:created>
  <dc:creator>Administrator</dc:creator>
  <cp:lastModifiedBy>Administrator</cp:lastModifiedBy>
  <dcterms:modified xsi:type="dcterms:W3CDTF">2017-09-27T02:00:26Z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